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before="240" w:after="0"/>
        <w:ind w:left="2410" w:right="0" w:hanging="0"/>
        <w:jc w:val="left"/>
        <w:rPr>
          <w:rFonts w:ascii="Times New Roman" w:hAnsi="Times New Roman"/>
          <w:i w:val="false"/>
          <w:i w:val="false"/>
          <w:iCs w:val="false"/>
        </w:rPr>
      </w:pPr>
      <w:r>
        <w:rPr>
          <w:i w:val="false"/>
          <w:iCs w:val="false"/>
          <w:sz w:val="46"/>
          <w:szCs w:val="46"/>
          <w:lang w:val="en-US"/>
        </w:rPr>
        <w:t xml:space="preserve">      </w:t>
      </w:r>
      <w:r>
        <w:rPr>
          <w:i w:val="false"/>
          <w:iCs w:val="false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113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>
        <w:rPr>
          <w:rFonts w:ascii="Times New Roman" w:hAnsi="Times New Roman"/>
          <w:b/>
          <w:bCs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29.08.2025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798</w:t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 внесении изменений в постановление Администрации городского округа Фрязино от 29.12.2022 № 986 «Об утверждении муниципальной программы городского округа Фрязино Московской области «Культура и туризм» на 2023-2027 годы»</w:t>
      </w:r>
    </w:p>
    <w:p>
      <w:pPr>
        <w:pStyle w:val="Normal"/>
        <w:spacing w:lineRule="auto" w:line="240" w:before="0" w:after="0"/>
        <w:ind w:right="4251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251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 соответствии с Бюджетным кодексом Российской Федерации,  Федеральным законом от 06.10.2003 № 131-ФЗ «Об общих принципах организации местного самоуправления», постановлением Администрации городского округа Фрязино от 09.11.2022 № 761 «О Перечне муниципальных программ городского округа Фрязино Московской области, реализация которых планируется с 2023 года», постановлением Администрации городского округа Фрязино от 06.03.2023 № 187 «Об утверждении Порядка разработки и реализации муниципальных программ городского округа Фрязино Московской области», </w:t>
      </w:r>
      <w:r>
        <w:rPr>
          <w:rFonts w:eastAsia="Helvetica Neue" w:ascii="Times New Roman" w:hAnsi="Times New Roman"/>
          <w:sz w:val="28"/>
          <w:szCs w:val="28"/>
          <w:lang w:eastAsia="en-US"/>
        </w:rPr>
        <w:t>решением Совета депутатов городского округа Фрязино от 17.06.2025 № 573/99 «О внесении изменений в решение Совета депутатов городского округа Фрязино от 17.12.2024 № 519/90 «О бюджете городского округа Фрязино на 2025 год и плановый период 2026 и 2027 годов»</w:t>
      </w:r>
      <w:r>
        <w:rPr>
          <w:rFonts w:eastAsia="Helvetica Neue" w:ascii="Times New Roman" w:hAnsi="Times New Roman"/>
          <w:sz w:val="28"/>
          <w:szCs w:val="24"/>
          <w:lang w:eastAsia="en-US"/>
        </w:rPr>
        <w:t xml:space="preserve">, с учётом изменений по сводной бюджетной росписи бюджета городского округа Фрязино на 2025 год и на плановый период 2026 и 2027 годов по состоянию </w:t>
      </w:r>
      <w:r>
        <w:rPr>
          <w:rFonts w:ascii="Times New Roman" w:hAnsi="Times New Roman"/>
          <w:sz w:val="28"/>
          <w:szCs w:val="24"/>
        </w:rPr>
        <w:t>на 06.08.2025,</w:t>
      </w:r>
      <w:r>
        <w:rPr>
          <w:rFonts w:eastAsia="Helvetica Neue" w:ascii="Times New Roman" w:hAnsi="Times New Roman"/>
          <w:sz w:val="28"/>
          <w:szCs w:val="24"/>
          <w:lang w:eastAsia="en-US"/>
        </w:rPr>
        <w:t xml:space="preserve"> руководствуясь Уставом городского округа Фрязино Московской области,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 о с т а н о в л я ю:</w:t>
      </w:r>
    </w:p>
    <w:p>
      <w:pPr>
        <w:pStyle w:val="Normal"/>
        <w:spacing w:lineRule="auto" w:line="240" w:before="0" w:after="0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</w:r>
    </w:p>
    <w:p>
      <w:pPr>
        <w:pStyle w:val="Normal"/>
        <w:widowControl w:val="false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Внести в постановление Администрации городского округа Фрязино от 29.12.2022 № 986 «Об утверждении муниципальной программы городского округа Фрязино Московской области «Культура и туризм» на 2023-2027 годы» (далее – Муниципальная программа), следующие изменения:</w:t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fmt="decimal"/>
          <w:formProt w:val="false"/>
          <w:textDirection w:val="lrTb"/>
          <w:docGrid w:type="default" w:linePitch="381" w:charSpace="0"/>
        </w:sectPr>
        <w:pStyle w:val="Normal"/>
        <w:widowControl w:val="false"/>
        <w:numPr>
          <w:ilvl w:val="1"/>
          <w:numId w:val="1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Раздел 1 Муниципальной программы «1. Паспорт муниципальной программы городского округа Фрязино Московской области «Культура и туризм» изложить в новой редакции согласно приложению 1 к настоящему постановлению.</w:t>
      </w:r>
    </w:p>
    <w:p>
      <w:pPr>
        <w:pStyle w:val="Normal"/>
        <w:widowControl w:val="false"/>
        <w:numPr>
          <w:ilvl w:val="1"/>
          <w:numId w:val="1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>Раздел 6 Муниципальной программы «6. Методика определения результатов выполнения мероприятий муниципальной программы городского округа Фрязино Московской области «Культура и туризм» изложить в новой редакции согласно приложению 2 к настоящему постановлению.</w:t>
      </w:r>
    </w:p>
    <w:p>
      <w:pPr>
        <w:pStyle w:val="Normal"/>
        <w:widowControl w:val="false"/>
        <w:numPr>
          <w:ilvl w:val="1"/>
          <w:numId w:val="1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Раздел 10 Муниципальной программы «Подпрограмма 6 «Развитие образования в сфере культуры»» изложить в новой редакции согласно приложению 3 к настоящему постановлению.</w:t>
      </w:r>
    </w:p>
    <w:p>
      <w:pPr>
        <w:pStyle w:val="Normal"/>
        <w:widowControl w:val="false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информационной телекоммуникационной сети Интернет.</w:t>
      </w:r>
    </w:p>
    <w:p>
      <w:pPr>
        <w:pStyle w:val="Normal"/>
        <w:widowControl w:val="false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>Назначить ответственным за исполнение настоящего постановления начальника управления культуры, спорта и молодежной политики администрации городского округа Фрязино Шмидт Е.Л.</w:t>
      </w:r>
    </w:p>
    <w:p>
      <w:pPr>
        <w:pStyle w:val="Normal"/>
        <w:widowControl w:val="false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>Контроль за исполнением настоящего постановления возложить на заместителя главы городского округа Фрязино Шувалову Ю.М.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tabs>
          <w:tab w:val="clear" w:pos="708"/>
          <w:tab w:val="center" w:pos="4677" w:leader="none"/>
          <w:tab w:val="right" w:pos="9355" w:leader="none"/>
          <w:tab w:val="right" w:pos="9639" w:leader="none"/>
        </w:tabs>
        <w:spacing w:lineRule="auto" w:line="240" w:before="0"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sectPr>
          <w:headerReference w:type="default" r:id="rId3"/>
          <w:type w:val="nextPage"/>
          <w:pgSz w:w="11906" w:h="16838"/>
          <w:pgMar w:left="1701" w:right="567" w:gutter="0" w:header="851" w:top="1134" w:footer="0" w:bottom="1134"/>
          <w:pgNumType w:fmt="decimal"/>
          <w:formProt w:val="false"/>
          <w:textDirection w:val="lrTb"/>
          <w:docGrid w:type="default" w:linePitch="381" w:charSpace="0"/>
        </w:sectPr>
        <w:pStyle w:val="Normal"/>
        <w:tabs>
          <w:tab w:val="clear" w:pos="708"/>
          <w:tab w:val="center" w:pos="4677" w:leader="none"/>
          <w:tab w:val="right" w:pos="9355" w:leader="none"/>
          <w:tab w:val="right" w:pos="9639" w:leader="none"/>
        </w:tabs>
        <w:spacing w:lineRule="auto" w:line="240" w:before="0" w:after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28"/>
          <w:szCs w:val="24"/>
        </w:rPr>
        <w:t>Глава городского округа Фрязино</w:t>
        <w:tab/>
        <w:t xml:space="preserve">                                                       Д.Р. Воробьев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Приложение 1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8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от </w:t>
      </w:r>
      <w:r>
        <w:rPr>
          <w:rFonts w:ascii="Times New Roman" w:hAnsi="Times New Roman"/>
          <w:sz w:val="24"/>
          <w:szCs w:val="24"/>
          <w:lang w:eastAsia="en-US"/>
        </w:rPr>
        <w:t>29.08.2025</w:t>
      </w:r>
      <w:r>
        <w:rPr>
          <w:rFonts w:ascii="Times New Roman" w:hAnsi="Times New Roman"/>
          <w:sz w:val="24"/>
          <w:szCs w:val="24"/>
          <w:lang w:eastAsia="en-US"/>
        </w:rPr>
        <w:t xml:space="preserve"> № </w:t>
      </w:r>
      <w:r>
        <w:rPr>
          <w:rFonts w:ascii="Times New Roman" w:hAnsi="Times New Roman"/>
          <w:sz w:val="24"/>
          <w:szCs w:val="24"/>
          <w:lang w:eastAsia="en-US"/>
        </w:rPr>
        <w:t>798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«УТВЕРЖДЕНА</w:t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постановлением Администрации</w:t>
        <w:br/>
        <w:t>городского округа Фрязино</w:t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bookmarkStart w:id="0" w:name="_Hlk148439184"/>
      <w:r>
        <w:rPr>
          <w:rFonts w:ascii="Times New Roman" w:hAnsi="Times New Roman"/>
          <w:sz w:val="24"/>
          <w:szCs w:val="24"/>
          <w:lang w:eastAsia="en-US"/>
        </w:rPr>
        <w:t>от 29.12.2022 № 98</w:t>
      </w:r>
      <w:bookmarkEnd w:id="0"/>
      <w:r>
        <w:rPr>
          <w:rFonts w:ascii="Times New Roman" w:hAnsi="Times New Roman"/>
          <w:sz w:val="24"/>
          <w:szCs w:val="24"/>
          <w:lang w:eastAsia="en-US"/>
        </w:rPr>
        <w:t>6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ПРОГРАММА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ФРЯЗИНО МОСКОВСКОЙ ОБЛАСТИ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«КУЛЬТУРА И ТУРИЗМ» НА 2023-2027 ГОДЫ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Паспорт муниципальной программы городского округа Фрязино Московской области «Культура и туризм» на 2023-2027 годы</w:t>
      </w:r>
    </w:p>
    <w:p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ConsPlusNormal"/>
        <w:ind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545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53"/>
        <w:gridCol w:w="1865"/>
        <w:gridCol w:w="1868"/>
        <w:gridCol w:w="1865"/>
        <w:gridCol w:w="1868"/>
        <w:gridCol w:w="1865"/>
        <w:gridCol w:w="1866"/>
      </w:tblGrid>
      <w:tr>
        <w:trPr>
          <w:trHeight w:val="399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</w:rPr>
              <w:t>Заместитель главы городского округа Фрязино – Ю.М. Шувалова</w:t>
            </w:r>
          </w:p>
        </w:tc>
      </w:tr>
      <w:tr>
        <w:trPr>
          <w:trHeight w:val="419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заказчик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267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Увеличение числа посещений мероприятий организаций культуры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Повышение вовлеченности граждан в деятельность в сфере культуры, в том числе поддержка творческих инициатив и проектов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 Создание условий для обеспечения равного доступа граждан к туристским объектам</w:t>
            </w:r>
          </w:p>
        </w:tc>
      </w:tr>
      <w:tr>
        <w:trPr>
          <w:trHeight w:val="279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заказчики подпрограмм</w:t>
            </w:r>
          </w:p>
        </w:tc>
      </w:tr>
      <w:tr>
        <w:trPr>
          <w:trHeight w:val="330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3 «Развитие библиотечного дела»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403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4 «Развитие профессионального искусства, гастрольно-концертной и культурно-досуговой деятельности, кинематографии»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90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5 «Укрепление материально-технической базы муниципальных учреждений культуры»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572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6 «Развитие образования в сфере культуры»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283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7 «Развитие туризма»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794" w:hRule="atLeast"/>
        </w:trPr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Краткая характеристика подпрограмм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Подпрограмма 3 «Развитие библиотечного дела». Организация библиотечного обслуживания населения, комплектование книжных фондов актуальными изданиями, развития литературного творчества и популяризации чтения</w:t>
            </w:r>
          </w:p>
        </w:tc>
      </w:tr>
      <w:tr>
        <w:trPr>
          <w:trHeight w:val="558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Подпрограмма 4 «Развитие профессионального искусства, гастрольно-концертной и культурно-досуговой деятельности, кинематографии». Обеспечение функций муниципальных театрально-концертных учреждений городского округа Фрязино Московской области, проведение праздничных и культурно-массовых мероприятий, творческих проектов муниципального значения в сфере культуры</w:t>
            </w:r>
          </w:p>
        </w:tc>
      </w:tr>
      <w:tr>
        <w:trPr>
          <w:trHeight w:val="1102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Подпрограмма 5 «Укрепление материально-технической базы муниципальных учреждений культуры». Модернизация материально-технической базы учреждений культуры для создания комфортных условий развития народного творчества, творческой самореализации граждан и предоставления услуг населению в сфере культуры</w:t>
            </w:r>
          </w:p>
        </w:tc>
      </w:tr>
      <w:tr>
        <w:trPr>
          <w:trHeight w:val="1036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Подпрограмма 6 «Развитие образования в сфере культуры». Реализации прав граждан на получение профессионального образования, обеспечение мер социальной поддержки обучающихся в подведомственных образовательных организациях, укрепление материально-технической базы образовательных организаций сферы культуры</w:t>
            </w:r>
          </w:p>
        </w:tc>
      </w:tr>
      <w:tr>
        <w:trPr>
          <w:trHeight w:val="841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Подпрограмма 7 «Развитие туризма». Развитие рынка туристских услуг и создание благоприятных условий для развития внутреннего и въездного туризма, повышение качества туристского продукта, развитие туристской инфраструктуры</w:t>
            </w:r>
          </w:p>
        </w:tc>
      </w:tr>
      <w:tr>
        <w:trPr>
          <w:trHeight w:val="73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 финансирования муниципальной программы, в том числе по годам реализации программы, тыс. руб.: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 год</w:t>
            </w:r>
          </w:p>
        </w:tc>
      </w:tr>
      <w:tr>
        <w:trPr>
          <w:trHeight w:val="316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29 007,59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7 139,45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16 523,57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4 749,85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448,44</w:t>
            </w:r>
          </w:p>
        </w:tc>
        <w:tc>
          <w:tcPr>
            <w:tcW w:w="1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146,28</w:t>
            </w:r>
          </w:p>
        </w:tc>
      </w:tr>
      <w:tr>
        <w:trPr>
          <w:trHeight w:val="371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федерального бюджета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811,92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188,79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163,64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159,35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153,86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146,28</w:t>
            </w:r>
          </w:p>
        </w:tc>
      </w:tr>
      <w:tr>
        <w:trPr>
          <w:trHeight w:val="265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1 054 730,41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180 303,35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210 888,49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223 260,43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220 139,30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220 138,84</w:t>
            </w:r>
          </w:p>
        </w:tc>
      </w:tr>
      <w:tr>
        <w:trPr>
          <w:trHeight w:val="22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100 130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</w:tr>
      <w:tr>
        <w:trPr>
          <w:trHeight w:val="371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Всего, в том числе по годам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1 184 679,92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207 657,59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247 601,70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248 195,63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240 767,60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240 457,40</w:t>
            </w:r>
          </w:p>
        </w:tc>
      </w:tr>
    </w:tbl>
    <w:p>
      <w:pPr>
        <w:sectPr>
          <w:headerReference w:type="default" r:id="rId4"/>
          <w:headerReference w:type="first" r:id="rId5"/>
          <w:type w:val="nextPage"/>
          <w:pgSz w:orient="landscape" w:w="16838" w:h="11906"/>
          <w:pgMar w:left="851" w:right="567" w:gutter="0" w:header="851" w:top="1134" w:footer="0" w:bottom="510"/>
          <w:pgNumType w:fmt="decimal"/>
          <w:formProt w:val="false"/>
          <w:titlePg/>
          <w:textDirection w:val="lrTb"/>
          <w:docGrid w:type="default" w:linePitch="381" w:charSpace="0"/>
        </w:sect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»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Приложение 2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8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от </w:t>
      </w:r>
      <w:r>
        <w:rPr>
          <w:rFonts w:ascii="Times New Roman" w:hAnsi="Times New Roman"/>
          <w:sz w:val="24"/>
          <w:szCs w:val="24"/>
          <w:lang w:eastAsia="en-US"/>
        </w:rPr>
        <w:t>29.08.2025</w:t>
      </w:r>
      <w:r>
        <w:rPr>
          <w:rFonts w:ascii="Times New Roman" w:hAnsi="Times New Roman"/>
          <w:sz w:val="24"/>
          <w:szCs w:val="24"/>
          <w:lang w:eastAsia="en-US"/>
        </w:rPr>
        <w:t xml:space="preserve"> № </w:t>
      </w:r>
      <w:r>
        <w:rPr>
          <w:rFonts w:ascii="Times New Roman" w:hAnsi="Times New Roman"/>
          <w:sz w:val="24"/>
          <w:szCs w:val="24"/>
          <w:lang w:eastAsia="en-US"/>
        </w:rPr>
        <w:t>798</w:t>
      </w:r>
    </w:p>
    <w:p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bookmarkStart w:id="1" w:name="_Hlk197427639"/>
      <w:r>
        <w:rPr>
          <w:rFonts w:ascii="Times New Roman" w:hAnsi="Times New Roman"/>
          <w:sz w:val="24"/>
          <w:szCs w:val="24"/>
        </w:rPr>
        <w:t>«6. Методика определения результатов выполнения мероприятий муниципальной программы</w:t>
        <w:br/>
        <w:t>городского округа Фрязино Московской области «Культура и туризм»</w:t>
      </w:r>
      <w:bookmarkEnd w:id="1"/>
    </w:p>
    <w:p>
      <w:pPr>
        <w:pStyle w:val="Normal"/>
        <w:widowControl w:val="false"/>
        <w:spacing w:lineRule="auto" w:line="240" w:before="0"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5450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1415"/>
        <w:gridCol w:w="1279"/>
        <w:gridCol w:w="1275"/>
        <w:gridCol w:w="4534"/>
        <w:gridCol w:w="1843"/>
        <w:gridCol w:w="4536"/>
      </w:tblGrid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>подпрограммы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>основного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результата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определения значений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(работ), для муниципальных учреждений - библиотеки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/>
            </w:r>
            <m:oMath xmlns:m="http://schemas.openxmlformats.org/officeDocument/2006/math">
              <m:f>
                <m:num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∑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n</m:t>
                      </m:r>
                    </m:sup>
                  </m:sSubSup>
                  <m:d>
                    <m:dPr>
                      <m:begChr m:val="("/>
                      <m:sepChr m:val="|"/>
                      <m:endChr m:val=")"/>
                    </m:dPr>
                    <m:e>
                      <m:r>
                        <w:rPr>
                          <w:rFonts w:ascii="Cambria Math" w:hAnsi="Cambria Math"/>
                        </w:rPr>
                        <m:t xml:space="preserve">V</m:t>
                      </m:r>
                    </m:e>
                    <m:e>
                      <m:sSup>
                        <m:e>
                          <m:r>
                            <w:rPr>
                              <w:rFonts w:ascii="Cambria Math" w:hAnsi="Cambria Math"/>
                            </w:rPr>
                            <m:t xml:space="preserve">i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 xml:space="preserve">факт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x</m:t>
                      </m:r>
                      <m:f>
                        <m:fPr>
                          <m:type m:val="lin"/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 xml:space="preserve">100</m:t>
                          </m:r>
                        </m:num>
                        <m:den>
                          <m:sSubSup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 xml:space="preserve">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 xml:space="preserve">гз</m:t>
                              </m:r>
                            </m:sup>
                          </m:sSubSup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 xml:space="preserve">n</m:t>
                  </m:r>
                </m:den>
              </m:f>
            </m:oMath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где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доля достижения показателя;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/>
            </w:r>
            <m:oMath xmlns:m="http://schemas.openxmlformats.org/officeDocument/2006/math">
              <m:sSubSup>
                <m:e>
                  <m:r>
                    <w:rPr>
                      <w:rFonts w:ascii="Cambria Math" w:hAnsi="Cambria Math"/>
                    </w:rPr>
                    <m:t xml:space="preserve">V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i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факт</m:t>
                  </m:r>
                </m:sup>
              </m:sSubSup>
            </m:oMath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фактический объем муниципального задания по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-ой муниципальной услуге (работе);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/>
            </w:r>
            <m:oMath xmlns:m="http://schemas.openxmlformats.org/officeDocument/2006/math">
              <m:sSubSup>
                <m:e>
                  <m:r>
                    <w:rPr>
                      <w:rFonts w:ascii="Cambria Math" w:hAnsi="Cambria Math"/>
                    </w:rPr>
                    <m:t xml:space="preserve">V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i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гз</m:t>
                  </m:r>
                </m:sup>
              </m:sSubSup>
            </m:oMath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 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утвержденный объем муниципального задания по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-ой муниципальной услуге (работе);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 – общее количество услуг (работ) установленных муниципальным заданием.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  <w:lang w:eastAsia="en-US"/>
              </w:rPr>
              <w:t>Отчеты о выполнении муниципальных заданий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библиотеки Московской области (юридические лица), обновившие книжный фонд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городского округа Московской области)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>Достигнуто соотношение средней заработной платы работников учреждений культуры без учета внешних совместителей и среднемесячной начисленной заработной платы наемных работников в организациях, у индивидуальных предпринимателей и физических лиц (среднемесячному доходу от трудовой деятельности) в Московской области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Московской области).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Проведены основные праздничные и культурно-массовые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проведенных основных праздничных и культурно-массовых мероприятий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>Достигнуто соотношение средней заработной платы работников учреждений культуры без учета внешних совместителей и среднемесячной начисленной заработной платы наемных работников в организациях, у индивидуальных предпринимателей и физических лиц (среднемесячному доходу от трудовой деятельности) в Московской области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Московской области).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работников муниципальных культурно-досуговых учреждений, которым произведены стимулирующие выплаты, в общей численности работников муниципальных культурно-досуговых учреждений, которым предусмотрены стимулирующие выплаты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Московской области).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Оборудованы в соответствии с требованиями доступности для инвалидов и других маломобильных групп населения объекты организаций культуры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городского округа Московской области)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(работ), для муниципальных организаций дополнительного образования сферы культуры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/>
            </w:r>
            <m:oMath xmlns:m="http://schemas.openxmlformats.org/officeDocument/2006/math">
              <m:f>
                <m:num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∑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n</m:t>
                      </m:r>
                    </m:sup>
                  </m:sSubSup>
                  <m:d>
                    <m:dPr>
                      <m:begChr m:val="("/>
                      <m:sepChr m:val="|"/>
                      <m:endChr m:val=")"/>
                    </m:dPr>
                    <m:e>
                      <m:r>
                        <w:rPr>
                          <w:rFonts w:ascii="Cambria Math" w:hAnsi="Cambria Math"/>
                        </w:rPr>
                        <m:t xml:space="preserve">V</m:t>
                      </m:r>
                    </m:e>
                    <m:e>
                      <m:sSup>
                        <m:e>
                          <m:r>
                            <w:rPr>
                              <w:rFonts w:ascii="Cambria Math" w:hAnsi="Cambria Math"/>
                            </w:rPr>
                            <m:t xml:space="preserve">i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 xml:space="preserve">факт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x</m:t>
                      </m:r>
                      <m:f>
                        <m:fPr>
                          <m:type m:val="lin"/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 xml:space="preserve">100</m:t>
                          </m:r>
                        </m:num>
                        <m:den>
                          <m:sSubSup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 xml:space="preserve">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 xml:space="preserve">гз</m:t>
                              </m:r>
                            </m:sup>
                          </m:sSubSup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 xml:space="preserve">n</m:t>
                  </m:r>
                </m:den>
              </m:f>
            </m:oMath>
            <w:r>
              <w:rPr>
                <w:rFonts w:ascii="Times New Roman" w:hAnsi="Times New Roman"/>
                <w:sz w:val="24"/>
                <w:szCs w:val="24"/>
              </w:rPr>
              <w:t>, где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доля достижения показателя;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/>
            </w:r>
            <m:oMath xmlns:m="http://schemas.openxmlformats.org/officeDocument/2006/math">
              <m:sSubSup>
                <m:e>
                  <m:r>
                    <w:rPr>
                      <w:rFonts w:ascii="Cambria Math" w:hAnsi="Cambria Math"/>
                    </w:rPr>
                    <m:t xml:space="preserve">V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i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факт</m:t>
                  </m:r>
                </m:sup>
              </m:sSubSup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- фактический объем муниципального задания по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-ой муниципальной услуге (работе);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/>
            </w:r>
            <m:oMath xmlns:m="http://schemas.openxmlformats.org/officeDocument/2006/math">
              <m:sSubSup>
                <m:e>
                  <m:r>
                    <w:rPr>
                      <w:rFonts w:ascii="Cambria Math" w:hAnsi="Cambria Math"/>
                    </w:rPr>
                    <m:t xml:space="preserve">V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i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гз</m:t>
                  </m:r>
                </m:sup>
              </m:sSubSup>
            </m:oMath>
            <w:r>
              <w:rPr>
                <w:rFonts w:ascii="Times New Roman" w:hAnsi="Times New Roman"/>
                <w:sz w:val="24"/>
                <w:szCs w:val="24"/>
              </w:rPr>
              <w:t xml:space="preserve"> –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утвержденный объем муниципального задания по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-ой муниципальной услуге (работе);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 – общее количество услуг (работ) установленных муниципальным заданием.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Отчеты о выполнении муниципальных заданий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Оснащены муниципальные организации дополнительного образования в сфере культуры (детские школы искусств по видам искусств музыкальными инструментами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о достижении значений целевых показателей результативности использования субсидии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Оборудованы в соответствии с требованиями доступности для инвалидов и других маломобильных групп населения объекты организаций дополнительного образования сферы культуры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городского округа Московской области)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Доля преподавателей в области музыкального искусства организаций дополнительного образования, которым произведены выплаты в общей численности указанной категории преподавателей в области музыкального искусства организаций дополнительного образования сферы культуры, которым предусмотрены выплаты, (%)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Московской области)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Достигнутое соотношение средней заработной платы педагогических работников организаций дополнительного образования сферы культуры без учета внешних совместителей и среднемесячной номинальной начисленной заработной платы учителей в Московской области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Московской области)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 отдельных категорий граждан, реализовавших право бесплатного посещения занятий по дополнительным образовательным программам, реализуемым на платной основе в муниципальных организациях дополнительного образования сферы культуры в Московской области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Московской области)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Проведены ежегодные профильные конкурсы, фестивали для организаций туристской индустрии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проведенных ежегодных профильных конкурсов, фестивалей для организаций туристской индустрии</w:t>
            </w:r>
          </w:p>
        </w:tc>
      </w:tr>
    </w:tbl>
    <w:p>
      <w:pPr>
        <w:sectPr>
          <w:headerReference w:type="default" r:id="rId6"/>
          <w:headerReference w:type="first" r:id="rId7"/>
          <w:type w:val="nextPage"/>
          <w:pgSz w:orient="landscape" w:w="16838" w:h="11906"/>
          <w:pgMar w:left="851" w:right="567" w:gutter="0" w:header="851" w:top="1134" w:footer="0" w:bottom="510"/>
          <w:pgNumType w:fmt="decimal"/>
          <w:formProt w:val="false"/>
          <w:titlePg/>
          <w:textDirection w:val="lrTb"/>
          <w:docGrid w:type="default" w:linePitch="381" w:charSpace="0"/>
        </w:sect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Приложение 3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8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от </w:t>
      </w:r>
      <w:r>
        <w:rPr>
          <w:rFonts w:ascii="Times New Roman" w:hAnsi="Times New Roman"/>
          <w:sz w:val="24"/>
          <w:szCs w:val="24"/>
          <w:lang w:eastAsia="en-US"/>
        </w:rPr>
        <w:t>29.08.2025</w:t>
      </w:r>
      <w:r>
        <w:rPr>
          <w:rFonts w:ascii="Times New Roman" w:hAnsi="Times New Roman"/>
          <w:sz w:val="24"/>
          <w:szCs w:val="24"/>
          <w:lang w:eastAsia="en-US"/>
        </w:rPr>
        <w:t xml:space="preserve"> № </w:t>
      </w:r>
      <w:r>
        <w:rPr>
          <w:rFonts w:ascii="Times New Roman" w:hAnsi="Times New Roman"/>
          <w:sz w:val="24"/>
          <w:szCs w:val="24"/>
          <w:lang w:eastAsia="en-US"/>
        </w:rPr>
        <w:t>798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«10. Подпрограмма 6 «Развитие образования в сфере культуры»</w:t>
      </w:r>
    </w:p>
    <w:p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10.1. Перечень мероприятий подпрограммы 6 «Развитие образования в сфере культуры»</w:t>
      </w:r>
    </w:p>
    <w:p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550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6"/>
        <w:gridCol w:w="2238"/>
        <w:gridCol w:w="1017"/>
        <w:gridCol w:w="1274"/>
        <w:gridCol w:w="1259"/>
        <w:gridCol w:w="1206"/>
        <w:gridCol w:w="1133"/>
        <w:gridCol w:w="857"/>
        <w:gridCol w:w="532"/>
        <w:gridCol w:w="532"/>
        <w:gridCol w:w="531"/>
        <w:gridCol w:w="535"/>
        <w:gridCol w:w="1209"/>
        <w:gridCol w:w="1240"/>
        <w:gridCol w:w="1512"/>
      </w:tblGrid>
      <w:tr>
        <w:trPr>
          <w:trHeight w:val="300" w:hRule="atLeast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Мероприятие подпрограммы</w:t>
            </w: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Сроки исполнения мероприятия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Всего (тыс. руб.)</w:t>
            </w:r>
          </w:p>
        </w:tc>
        <w:tc>
          <w:tcPr>
            <w:tcW w:w="7775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Объем финансирования по годам (тыс. руб.)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Ответственный за выполнение мероприятия подпрограммы</w:t>
            </w:r>
          </w:p>
        </w:tc>
      </w:tr>
      <w:tr>
        <w:trPr>
          <w:trHeight w:val="300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 год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19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</w:t>
            </w:r>
          </w:p>
        </w:tc>
      </w:tr>
      <w:tr>
        <w:trPr>
          <w:trHeight w:val="319" w:hRule="atLeast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Основное мероприятие 01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Обеспечение функций муниципальных организаций дополнительного образования сферы культуры</w:t>
            </w: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2023-2027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94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364 221,15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69 882,85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76 538,30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72 600,00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72 600,00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72 600,00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388" w:hRule="atLeast"/>
        </w:trPr>
        <w:tc>
          <w:tcPr>
            <w:tcW w:w="42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728" w:hRule="atLeast"/>
        </w:trPr>
        <w:tc>
          <w:tcPr>
            <w:tcW w:w="42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259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344 221,15</w:t>
            </w:r>
          </w:p>
        </w:tc>
        <w:tc>
          <w:tcPr>
            <w:tcW w:w="1206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65 882,85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72 538,30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68 600,00</w:t>
            </w:r>
          </w:p>
        </w:tc>
        <w:tc>
          <w:tcPr>
            <w:tcW w:w="1209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68 600,00</w:t>
            </w:r>
          </w:p>
        </w:tc>
        <w:tc>
          <w:tcPr>
            <w:tcW w:w="1240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68 600,00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91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20 000,00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8" w:hRule="atLeast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23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Мероприятие 01.01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Расходы на обеспечение деятельности (оказание услуг) муниципальных организаций дополнительного образования сферы культуры</w:t>
            </w:r>
          </w:p>
        </w:tc>
        <w:tc>
          <w:tcPr>
            <w:tcW w:w="10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2023-2027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94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364 221,15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69 882,85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76 538,30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72 600,00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72 600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72 600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377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94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344 221,15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65 882,85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72 538,30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68 600,00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68 600,00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68 600,00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79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25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20 000,00</w:t>
            </w:r>
          </w:p>
        </w:tc>
        <w:tc>
          <w:tcPr>
            <w:tcW w:w="1206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20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24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86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en-US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(работ), для муниципальных организаций дополнительного образования сферы культуры, (%)</w:t>
            </w: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 2025 год</w:t>
            </w:r>
          </w:p>
        </w:tc>
        <w:tc>
          <w:tcPr>
            <w:tcW w:w="2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1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 год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13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2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11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  <w:bookmarkStart w:id="2" w:name="_Hlk185579704"/>
            <w:bookmarkStart w:id="3" w:name="_Hlk185579704"/>
            <w:bookmarkEnd w:id="3"/>
          </w:p>
        </w:tc>
      </w:tr>
      <w:tr>
        <w:trPr>
          <w:trHeight w:val="323" w:hRule="atLeast"/>
        </w:trPr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Основное мероприятие А1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Федеральный проект «Культурная среда»</w:t>
            </w:r>
          </w:p>
        </w:tc>
        <w:tc>
          <w:tcPr>
            <w:tcW w:w="10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2023-2027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12 080,00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12 080,00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407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6 040,00</w:t>
            </w:r>
          </w:p>
        </w:tc>
        <w:tc>
          <w:tcPr>
            <w:tcW w:w="12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6 040,00</w:t>
            </w:r>
          </w:p>
        </w:tc>
        <w:tc>
          <w:tcPr>
            <w:tcW w:w="298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16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6 040,00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6 040,00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8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00" w:hRule="atLeast"/>
        </w:trPr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2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Style w:val="Qowt-font2-timesnewroman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Qowt-font2-timesnewroman"/>
                <w:rFonts w:cs="Times New Roman" w:ascii="Times New Roman" w:hAnsi="Times New Roman"/>
                <w:sz w:val="24"/>
                <w:szCs w:val="24"/>
              </w:rPr>
              <w:t>Мероприятие А1.02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Qowt-font2-timesnewroman"/>
                <w:rFonts w:cs="Times New Roman" w:ascii="Times New Roman" w:hAnsi="Times New Roman"/>
                <w:sz w:val="24"/>
                <w:szCs w:val="24"/>
              </w:rPr>
              <w:t>Приобретение музыкальных инструментов для муниципальных организаций дополнительного образования в сфере культуры</w:t>
            </w:r>
          </w:p>
        </w:tc>
        <w:tc>
          <w:tcPr>
            <w:tcW w:w="10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2023-2027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12 080,00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12 080,00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57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6 040,00</w:t>
            </w:r>
          </w:p>
        </w:tc>
        <w:tc>
          <w:tcPr>
            <w:tcW w:w="12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6 040,00</w:t>
            </w:r>
          </w:p>
        </w:tc>
        <w:tc>
          <w:tcPr>
            <w:tcW w:w="298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703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6 040,00</w:t>
            </w:r>
          </w:p>
        </w:tc>
        <w:tc>
          <w:tcPr>
            <w:tcW w:w="12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6 040,00</w:t>
            </w:r>
          </w:p>
        </w:tc>
        <w:tc>
          <w:tcPr>
            <w:tcW w:w="298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48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Qowt-font2-timesnewroman"/>
                <w:rFonts w:cs="Times New Roman" w:ascii="Times New Roman" w:hAnsi="Times New Roman"/>
                <w:sz w:val="24"/>
                <w:szCs w:val="24"/>
              </w:rPr>
              <w:t xml:space="preserve">Оснащены муниципальные организации дополнительного образования в сфере культуры (детские школы искусств) по видам искусств музыкальными инструментами, </w:t>
            </w:r>
            <w:r>
              <w:rPr>
                <w:rStyle w:val="Qowt-font2-timesnewroman"/>
                <w:rFonts w:cs="Times New Roman" w:ascii="Times New Roman" w:hAnsi="Times New Roman"/>
                <w:spacing w:val="-6"/>
                <w:sz w:val="24"/>
                <w:szCs w:val="24"/>
              </w:rPr>
              <w:t>(ед.)</w:t>
            </w:r>
          </w:p>
        </w:tc>
        <w:tc>
          <w:tcPr>
            <w:tcW w:w="10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 2025 год</w:t>
            </w:r>
          </w:p>
        </w:tc>
        <w:tc>
          <w:tcPr>
            <w:tcW w:w="2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120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240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 год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209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40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77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23" w:hRule="atLeast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Основное мероприятие 04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Обеспечение пожарной безопасности и создание доступной среды</w:t>
            </w: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2023-2027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213,46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213,46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575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149,42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149,42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907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64,04</w:t>
            </w:r>
          </w:p>
        </w:tc>
        <w:tc>
          <w:tcPr>
            <w:tcW w:w="12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64,04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567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23" w:hRule="atLeast"/>
        </w:trPr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2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Мероприятие 04.02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Создание доступной среды в муниципальных учреждениях дополнительного образования сферы культуры</w:t>
            </w:r>
          </w:p>
        </w:tc>
        <w:tc>
          <w:tcPr>
            <w:tcW w:w="10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2023-2027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213,46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213,46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57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149,42</w:t>
            </w:r>
          </w:p>
        </w:tc>
        <w:tc>
          <w:tcPr>
            <w:tcW w:w="12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149,42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2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64,04</w:t>
            </w:r>
          </w:p>
        </w:tc>
        <w:tc>
          <w:tcPr>
            <w:tcW w:w="12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64,04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46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Оборудованы в соответствии с требованиями доступности для инвалидов и других маломобильных групп населения объекты организаций дополнительного образования сферы культуры, (ед.)</w:t>
            </w:r>
          </w:p>
        </w:tc>
        <w:tc>
          <w:tcPr>
            <w:tcW w:w="10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 2025 год</w:t>
            </w:r>
          </w:p>
        </w:tc>
        <w:tc>
          <w:tcPr>
            <w:tcW w:w="2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120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240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 год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209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40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77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83" w:hRule="atLeast"/>
        </w:trPr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Основное мероприятие 05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Финансовое обеспечение организаций дополнительного образования сферы культуры Московской области</w:t>
            </w:r>
          </w:p>
        </w:tc>
        <w:tc>
          <w:tcPr>
            <w:tcW w:w="10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2024-2027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highlight w:val="yellow"/>
              </w:rPr>
              <w:t>6 458,26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2 758,00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highlight w:val="yellow"/>
              </w:rPr>
              <w:t>3 700,26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51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highlight w:val="yellow"/>
              </w:rPr>
              <w:t>6 458,26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2 758,00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highlight w:val="yellow"/>
              </w:rPr>
              <w:t>3 700,26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54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70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8" w:hRule="atLeast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23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Мероприятие 05.02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Финансовое обеспечение выплат преподавателям в области музыкального искусства организаций дополнительного образования сферы культуры</w:t>
            </w:r>
          </w:p>
        </w:tc>
        <w:tc>
          <w:tcPr>
            <w:tcW w:w="10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2025-2027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94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3 671,64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3 671,64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377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94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3 671,64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3 671,64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  <w:bookmarkStart w:id="4" w:name="_Hlk185579857"/>
            <w:bookmarkStart w:id="5" w:name="_Hlk185579857"/>
            <w:bookmarkEnd w:id="5"/>
          </w:p>
        </w:tc>
      </w:tr>
      <w:tr>
        <w:trPr>
          <w:trHeight w:val="379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25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86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en-US"/>
              </w:rPr>
              <w:t>Доля преподавателей в области музыкального искусства организаций дополнительного образования, которым произведены выплаты в общей численности указанной категории преподавателей в области музыкального искусства организаций дополнительного образования сферы культуры, которым предусмотрены выплаты, (%)</w:t>
            </w: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 2025 год</w:t>
            </w:r>
          </w:p>
        </w:tc>
        <w:tc>
          <w:tcPr>
            <w:tcW w:w="2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1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 год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13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2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11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8" w:hRule="atLeast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23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Мероприятие 05.03 Сохранение достигнутого уровня заработной платы педагогических работников организаций дополнительного образования сферы культуры</w:t>
            </w:r>
          </w:p>
        </w:tc>
        <w:tc>
          <w:tcPr>
            <w:tcW w:w="10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2024-2027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94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2 758,00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2 758,00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377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94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2 758,00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2 758,00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79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25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86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Достигнутое соотношение средней заработной платы педагогических работников организаций дополнительного образования сферы культуры без учета внешних совместителей и среднемесячной номинальной начисленной заработной платы учителей в Московской области, (%)</w:t>
            </w: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 2025 год</w:t>
            </w:r>
          </w:p>
        </w:tc>
        <w:tc>
          <w:tcPr>
            <w:tcW w:w="2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1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 год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13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2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11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91,72</w:t>
            </w:r>
          </w:p>
        </w:tc>
        <w:tc>
          <w:tcPr>
            <w:tcW w:w="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8" w:hRule="atLeast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righ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23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Мероприятие 05.04 Предоставление детям отдельных категорий граждан права бесплатного посещения занятий по дополнительным образовательным программам в области искусств, реализуемым на основе договоров об оказании платных образовательных услуг в муниципальных организациях дополнительного образования детей</w:t>
            </w:r>
          </w:p>
        </w:tc>
        <w:tc>
          <w:tcPr>
            <w:tcW w:w="10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2025-2027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94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28,61518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28,61518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377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94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28,61518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28,6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1518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95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79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25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0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86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Количество детей отдельных категорий граждан, реализовавших право бесплатного посещения занятий по дополнительным образовательным программам, реализуемым на платной основе в муниципальных организациях дополнительного образования сферы культуры в Московской области, чел.</w:t>
            </w: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8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 2025 год</w:t>
            </w:r>
          </w:p>
        </w:tc>
        <w:tc>
          <w:tcPr>
            <w:tcW w:w="2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1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 год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13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2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11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19" w:hRule="atLeast"/>
        </w:trPr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 по подпрограмме</w:t>
            </w:r>
          </w:p>
        </w:tc>
        <w:tc>
          <w:tcPr>
            <w:tcW w:w="10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left="-57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highlight w:val="yellow"/>
              </w:rPr>
              <w:t>382 972,87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70 096,31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91 376,30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highlight w:val="yellow"/>
              </w:rPr>
              <w:t>76 300,26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72 600,00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72 600,00</w:t>
            </w:r>
          </w:p>
        </w:tc>
        <w:tc>
          <w:tcPr>
            <w:tcW w:w="15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</w:t>
            </w:r>
          </w:p>
        </w:tc>
      </w:tr>
      <w:tr>
        <w:trPr>
          <w:trHeight w:val="388" w:hRule="atLeast"/>
        </w:trPr>
        <w:tc>
          <w:tcPr>
            <w:tcW w:w="42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highlight w:val="yellow"/>
              </w:rPr>
              <w:t>12 647,68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149,42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8 798,00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highlight w:val="yellow"/>
              </w:rPr>
              <w:t>3 700,26</w:t>
            </w:r>
          </w:p>
        </w:tc>
        <w:tc>
          <w:tcPr>
            <w:tcW w:w="12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956" w:hRule="atLeast"/>
        </w:trPr>
        <w:tc>
          <w:tcPr>
            <w:tcW w:w="42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259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350 325,19</w:t>
            </w:r>
          </w:p>
        </w:tc>
        <w:tc>
          <w:tcPr>
            <w:tcW w:w="1206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65946,89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78578,30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68 600,00</w:t>
            </w:r>
          </w:p>
        </w:tc>
        <w:tc>
          <w:tcPr>
            <w:tcW w:w="1209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68 600,00</w:t>
            </w:r>
          </w:p>
        </w:tc>
        <w:tc>
          <w:tcPr>
            <w:tcW w:w="1240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68 600,00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273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left="-57" w:right="-57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20 000,00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2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2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"/>
              <w:widowControl w:val="false"/>
              <w:ind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4 000,00</w:t>
            </w:r>
          </w:p>
        </w:tc>
        <w:tc>
          <w:tcPr>
            <w:tcW w:w="15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».</w:t>
      </w:r>
    </w:p>
    <w:sectPr>
      <w:headerReference w:type="default" r:id="rId8"/>
      <w:headerReference w:type="first" r:id="rId9"/>
      <w:type w:val="nextPage"/>
      <w:pgSz w:orient="landscape" w:w="16838" w:h="11906"/>
      <w:pgMar w:left="851" w:right="567" w:gutter="0" w:header="851" w:top="1134" w:footer="0" w:bottom="510"/>
      <w:pgNumType w:fmt="decimal"/>
      <w:formProt w:val="false"/>
      <w:titlePg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 Light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5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5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5</w:t>
    </w:r>
    <w:r>
      <w:rPr>
        <w:sz w:val="20"/>
        <w:szCs w:val="20"/>
      </w:rPr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5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9</w:t>
    </w:r>
    <w:r>
      <w:rPr>
        <w:sz w:val="20"/>
        <w:szCs w:val="20"/>
      </w:rPr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5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11</w:t>
    </w:r>
    <w:r>
      <w:rPr>
        <w:sz w:val="20"/>
        <w:szCs w:val="20"/>
      </w:rPr>
      <w:fldChar w:fldCharType="end"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>
        <w:sz w:val="28"/>
        <w:i w:val="false"/>
        <w:b w:val="false"/>
        <w:rFonts w:ascii="Times New Roman" w:hAnsi="Times New Roman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>
        <w:sz w:val="28"/>
        <w:i w:val="false"/>
        <w:b w:val="false"/>
        <w:rFonts w:ascii="Times New Roman" w:hAnsi="Times New Roman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/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/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/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uiPriority="0" w:semiHidden="1" w:unhideWhenUsed="1" w:qFormat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e2e5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link w:val="11"/>
    <w:uiPriority w:val="9"/>
    <w:qFormat/>
    <w:rsid w:val="00753703"/>
    <w:pPr>
      <w:keepNext w:val="true"/>
      <w:spacing w:lineRule="auto" w:line="240" w:before="0" w:after="0"/>
      <w:jc w:val="center"/>
      <w:outlineLvl w:val="0"/>
    </w:pPr>
    <w:rPr>
      <w:rFonts w:ascii="Times New Roman" w:hAnsi="Times New Roman"/>
      <w:b/>
      <w:bCs/>
      <w:sz w:val="32"/>
      <w:szCs w:val="32"/>
      <w:lang w:val="x-none"/>
    </w:rPr>
  </w:style>
  <w:style w:type="paragraph" w:styleId="2">
    <w:name w:val="Heading 2"/>
    <w:qFormat/>
    <w:rsid w:val="00697e5d"/>
    <w:pPr>
      <w:widowControl w:val="false"/>
      <w:suppressAutoHyphens w:val="true"/>
      <w:bidi w:val="0"/>
      <w:spacing w:before="0" w:after="0"/>
      <w:jc w:val="left"/>
      <w:outlineLvl w:val="1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ru-RU" w:bidi="ar-SA"/>
    </w:rPr>
  </w:style>
  <w:style w:type="paragraph" w:styleId="3">
    <w:name w:val="Heading 3"/>
    <w:basedOn w:val="Normal"/>
    <w:link w:val="31"/>
    <w:qFormat/>
    <w:rsid w:val="00753703"/>
    <w:pPr>
      <w:keepNext w:val="true"/>
      <w:spacing w:lineRule="auto" w:line="240" w:before="0" w:after="0"/>
      <w:jc w:val="center"/>
      <w:outlineLvl w:val="2"/>
    </w:pPr>
    <w:rPr>
      <w:rFonts w:ascii="Times New Roman" w:hAnsi="Times New Roman"/>
      <w:b/>
      <w:bCs/>
      <w:i/>
      <w:iCs/>
      <w:sz w:val="56"/>
      <w:szCs w:val="56"/>
      <w:lang w:val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uiPriority w:val="9"/>
    <w:qFormat/>
    <w:rsid w:val="00753703"/>
    <w:rPr>
      <w:b/>
      <w:bCs/>
      <w:sz w:val="32"/>
      <w:szCs w:val="32"/>
      <w:lang w:eastAsia="ru-RU" w:bidi="ar-SA"/>
    </w:rPr>
  </w:style>
  <w:style w:type="character" w:styleId="31" w:customStyle="1">
    <w:name w:val="Заголовок 3 Знак"/>
    <w:qFormat/>
    <w:rsid w:val="00753703"/>
    <w:rPr>
      <w:b/>
      <w:bCs/>
      <w:i/>
      <w:iCs/>
      <w:sz w:val="56"/>
      <w:szCs w:val="56"/>
      <w:lang w:eastAsia="ru-RU" w:bidi="ar-SA"/>
    </w:rPr>
  </w:style>
  <w:style w:type="character" w:styleId="21" w:customStyle="1">
    <w:name w:val="Основной текст с отступом 2 Знак"/>
    <w:qFormat/>
    <w:rsid w:val="00753703"/>
    <w:rPr>
      <w:sz w:val="28"/>
      <w:szCs w:val="28"/>
      <w:lang w:eastAsia="ru-RU" w:bidi="ar-SA"/>
    </w:rPr>
  </w:style>
  <w:style w:type="character" w:styleId="Style11" w:customStyle="1">
    <w:name w:val="Название Знак"/>
    <w:qFormat/>
    <w:rsid w:val="00753703"/>
    <w:rPr>
      <w:sz w:val="28"/>
      <w:szCs w:val="28"/>
      <w:lang w:eastAsia="ru-RU" w:bidi="ar-SA"/>
    </w:rPr>
  </w:style>
  <w:style w:type="character" w:styleId="Style12" w:customStyle="1">
    <w:name w:val="Подзаголовок Знак"/>
    <w:qFormat/>
    <w:rsid w:val="00753703"/>
    <w:rPr>
      <w:sz w:val="24"/>
      <w:szCs w:val="24"/>
      <w:lang w:eastAsia="ru-RU" w:bidi="ar-SA"/>
    </w:rPr>
  </w:style>
  <w:style w:type="character" w:styleId="Style13" w:customStyle="1">
    <w:name w:val="Верхний колонтитул Знак"/>
    <w:uiPriority w:val="99"/>
    <w:qFormat/>
    <w:rsid w:val="00753703"/>
    <w:rPr>
      <w:sz w:val="24"/>
      <w:szCs w:val="24"/>
      <w:lang w:eastAsia="ru-RU" w:bidi="ar-SA"/>
    </w:rPr>
  </w:style>
  <w:style w:type="character" w:styleId="Style14" w:customStyle="1">
    <w:name w:val="Нижний колонтитул Знак"/>
    <w:uiPriority w:val="99"/>
    <w:qFormat/>
    <w:rsid w:val="00753703"/>
    <w:rPr>
      <w:sz w:val="24"/>
      <w:szCs w:val="24"/>
      <w:lang w:eastAsia="ru-RU" w:bidi="ar-SA"/>
    </w:rPr>
  </w:style>
  <w:style w:type="character" w:styleId="Style15" w:customStyle="1">
    <w:name w:val="Текст выноски Знак"/>
    <w:uiPriority w:val="99"/>
    <w:semiHidden/>
    <w:qFormat/>
    <w:rsid w:val="00753703"/>
    <w:rPr>
      <w:rFonts w:ascii="Tahoma" w:hAnsi="Tahoma" w:cs="Tahoma"/>
      <w:sz w:val="16"/>
      <w:szCs w:val="16"/>
      <w:lang w:eastAsia="ru-RU" w:bidi="ar-SA"/>
    </w:rPr>
  </w:style>
  <w:style w:type="character" w:styleId="Style16" w:customStyle="1">
    <w:name w:val="Схема документа Знак"/>
    <w:uiPriority w:val="99"/>
    <w:qFormat/>
    <w:rsid w:val="00586446"/>
    <w:rPr>
      <w:rFonts w:eastAsia="Calibri"/>
      <w:b/>
      <w:sz w:val="28"/>
      <w:szCs w:val="28"/>
      <w:lang w:eastAsia="ru-RU" w:bidi="ar-SA"/>
    </w:rPr>
  </w:style>
  <w:style w:type="character" w:styleId="Pagenumber">
    <w:name w:val="page number"/>
    <w:qFormat/>
    <w:rsid w:val="00586446"/>
    <w:rPr>
      <w:rFonts w:cs="Times New Roman"/>
    </w:rPr>
  </w:style>
  <w:style w:type="character" w:styleId="-">
    <w:name w:val="Hyperlink"/>
    <w:uiPriority w:val="99"/>
    <w:unhideWhenUsed/>
    <w:rsid w:val="005b460f"/>
    <w:rPr>
      <w:color w:val="0000FF"/>
      <w:u w:val="single"/>
    </w:rPr>
  </w:style>
  <w:style w:type="character" w:styleId="Style17">
    <w:name w:val="FollowedHyperlink"/>
    <w:qFormat/>
    <w:rsid w:val="00586446"/>
    <w:rPr>
      <w:color w:val="800080"/>
      <w:u w:val="single"/>
    </w:rPr>
  </w:style>
  <w:style w:type="character" w:styleId="Keyboard" w:customStyle="1">
    <w:name w:val="Keyboard"/>
    <w:qFormat/>
    <w:rsid w:val="00813639"/>
    <w:rPr>
      <w:rFonts w:ascii="Courier New" w:hAnsi="Courier New" w:cs="Courier New"/>
      <w:b/>
      <w:bCs/>
      <w:sz w:val="20"/>
      <w:szCs w:val="20"/>
    </w:rPr>
  </w:style>
  <w:style w:type="character" w:styleId="22" w:customStyle="1">
    <w:name w:val="Заголовок 2 Знак"/>
    <w:qFormat/>
    <w:rsid w:val="00697e5d"/>
    <w:rPr>
      <w:rFonts w:ascii="Liberation Sans" w:hAnsi="Liberation Sans" w:eastAsia="Microsoft YaHei" w:cs="Mangal"/>
      <w:sz w:val="28"/>
      <w:szCs w:val="28"/>
      <w:lang w:eastAsia="en-US"/>
    </w:rPr>
  </w:style>
  <w:style w:type="character" w:styleId="Apple-converted-space" w:customStyle="1">
    <w:name w:val="apple-converted-space"/>
    <w:basedOn w:val="DefaultParagraphFont"/>
    <w:qFormat/>
    <w:rsid w:val="00697e5d"/>
    <w:rPr/>
  </w:style>
  <w:style w:type="character" w:styleId="12" w:customStyle="1">
    <w:name w:val="Основной текст Знак1"/>
    <w:uiPriority w:val="99"/>
    <w:qFormat/>
    <w:locked/>
    <w:rsid w:val="00697e5d"/>
    <w:rPr>
      <w:rFonts w:ascii="Times New Roman" w:hAnsi="Times New Roman" w:cs="Times New Roman"/>
      <w:spacing w:val="2"/>
      <w:sz w:val="26"/>
      <w:szCs w:val="26"/>
      <w:shd w:fill="FFFFFF" w:val="clear"/>
    </w:rPr>
  </w:style>
  <w:style w:type="character" w:styleId="Style18" w:customStyle="1">
    <w:name w:val="Основной текст Знак"/>
    <w:qFormat/>
    <w:rsid w:val="00697e5d"/>
    <w:rPr>
      <w:rFonts w:ascii="Calibri" w:hAnsi="Calibri" w:eastAsia="Calibri"/>
      <w:sz w:val="22"/>
      <w:szCs w:val="22"/>
      <w:lang w:eastAsia="en-US"/>
    </w:rPr>
  </w:style>
  <w:style w:type="character" w:styleId="Style19" w:customStyle="1">
    <w:name w:val="Основной текст_"/>
    <w:qFormat/>
    <w:locked/>
    <w:rsid w:val="00697e5d"/>
    <w:rPr>
      <w:color w:val="000000"/>
      <w:sz w:val="28"/>
      <w:szCs w:val="28"/>
      <w:shd w:fill="FFFFFF" w:val="clear"/>
      <w:lang w:eastAsia="zh-CN" w:bidi="hi-IN"/>
    </w:rPr>
  </w:style>
  <w:style w:type="character" w:styleId="13" w:customStyle="1">
    <w:name w:val="Текст выноски Знак1"/>
    <w:uiPriority w:val="99"/>
    <w:semiHidden/>
    <w:qFormat/>
    <w:rsid w:val="00471070"/>
    <w:rPr>
      <w:rFonts w:ascii="Tahoma" w:hAnsi="Tahoma" w:eastAsia="Calibri" w:cs="Times New Roman"/>
      <w:sz w:val="16"/>
      <w:szCs w:val="16"/>
    </w:rPr>
  </w:style>
  <w:style w:type="character" w:styleId="Style20" w:customStyle="1">
    <w:name w:val="Текст сноски Знак"/>
    <w:uiPriority w:val="99"/>
    <w:semiHidden/>
    <w:qFormat/>
    <w:locked/>
    <w:rsid w:val="00d726a7"/>
    <w:rPr>
      <w:lang w:val="ru-RU" w:eastAsia="en-US" w:bidi="ar-SA"/>
    </w:rPr>
  </w:style>
  <w:style w:type="character" w:styleId="Style21" w:customStyle="1">
    <w:name w:val="Символ сноски"/>
    <w:qFormat/>
    <w:rsid w:val="005b460f"/>
    <w:rPr/>
  </w:style>
  <w:style w:type="character" w:styleId="14" w:customStyle="1">
    <w:name w:val="Знак сноски1"/>
    <w:qFormat/>
    <w:rsid w:val="005b460f"/>
    <w:rPr>
      <w:vertAlign w:val="superscript"/>
    </w:rPr>
  </w:style>
  <w:style w:type="character" w:styleId="HeaderChar" w:customStyle="1">
    <w:name w:val="Header Char"/>
    <w:semiHidden/>
    <w:qFormat/>
    <w:locked/>
    <w:rsid w:val="00d726a7"/>
    <w:rPr>
      <w:rFonts w:ascii="Times New Roman" w:hAnsi="Times New Roman" w:cs="Times New Roman"/>
      <w:sz w:val="28"/>
    </w:rPr>
  </w:style>
  <w:style w:type="character" w:styleId="FooterChar" w:customStyle="1">
    <w:name w:val="Footer Char"/>
    <w:semiHidden/>
    <w:qFormat/>
    <w:locked/>
    <w:rsid w:val="00d726a7"/>
    <w:rPr>
      <w:rFonts w:ascii="Times New Roman" w:hAnsi="Times New Roman" w:cs="Times New Roman"/>
      <w:sz w:val="28"/>
    </w:rPr>
  </w:style>
  <w:style w:type="character" w:styleId="BalloonTextChar" w:customStyle="1">
    <w:name w:val="Balloon Text Char"/>
    <w:semiHidden/>
    <w:qFormat/>
    <w:locked/>
    <w:rsid w:val="00d726a7"/>
    <w:rPr>
      <w:rFonts w:ascii="Tahoma" w:hAnsi="Tahoma" w:cs="Tahoma"/>
      <w:sz w:val="16"/>
      <w:szCs w:val="16"/>
    </w:rPr>
  </w:style>
  <w:style w:type="character" w:styleId="Style22" w:customStyle="1">
    <w:name w:val="Заголовок Знак"/>
    <w:uiPriority w:val="10"/>
    <w:qFormat/>
    <w:rsid w:val="00253672"/>
    <w:rPr>
      <w:rFonts w:ascii="Calibri Light" w:hAnsi="Calibri Light" w:eastAsia="Calibri Light" w:cs="Calibri Light"/>
      <w:spacing w:val="0"/>
      <w:sz w:val="56"/>
      <w:szCs w:val="56"/>
    </w:rPr>
  </w:style>
  <w:style w:type="character" w:styleId="15" w:customStyle="1">
    <w:name w:val="Нижний колонтитул Знак1"/>
    <w:uiPriority w:val="99"/>
    <w:qFormat/>
    <w:rsid w:val="00253672"/>
    <w:rPr>
      <w:rFonts w:ascii="Calibri" w:hAnsi="Calibri"/>
      <w:sz w:val="22"/>
      <w:szCs w:val="22"/>
    </w:rPr>
  </w:style>
  <w:style w:type="character" w:styleId="16" w:customStyle="1">
    <w:name w:val="Подзаголовок Знак1"/>
    <w:qFormat/>
    <w:rsid w:val="00253672"/>
    <w:rPr>
      <w:rFonts w:ascii="Calibri" w:hAnsi="Calibri" w:eastAsia="Calibri" w:cs="Calibri"/>
      <w:color w:val="5A5A5A"/>
      <w:spacing w:val="15"/>
      <w:sz w:val="22"/>
      <w:szCs w:val="22"/>
    </w:rPr>
  </w:style>
  <w:style w:type="character" w:styleId="211" w:customStyle="1">
    <w:name w:val="Основной текст с отступом 2 Знак1"/>
    <w:semiHidden/>
    <w:qFormat/>
    <w:rsid w:val="00253672"/>
    <w:rPr>
      <w:rFonts w:ascii="Calibri" w:hAnsi="Calibri"/>
      <w:sz w:val="22"/>
      <w:szCs w:val="22"/>
    </w:rPr>
  </w:style>
  <w:style w:type="character" w:styleId="17" w:customStyle="1">
    <w:name w:val="Схема документа Знак1"/>
    <w:uiPriority w:val="99"/>
    <w:semiHidden/>
    <w:qFormat/>
    <w:rsid w:val="00253672"/>
    <w:rPr>
      <w:rFonts w:ascii="Segoe UI" w:hAnsi="Segoe UI" w:cs="Segoe UI"/>
      <w:sz w:val="16"/>
      <w:szCs w:val="16"/>
    </w:rPr>
  </w:style>
  <w:style w:type="character" w:styleId="18" w:customStyle="1">
    <w:name w:val="Верхний колонтитул Знак1"/>
    <w:uiPriority w:val="99"/>
    <w:qFormat/>
    <w:locked/>
    <w:rsid w:val="00f97cea"/>
    <w:rPr>
      <w:rFonts w:ascii="Calibri" w:hAnsi="Calibri" w:cs="Arial Unicode MS"/>
      <w:color w:val="000000"/>
      <w:sz w:val="22"/>
      <w:szCs w:val="22"/>
      <w:u w:val="none" w:color="000000"/>
    </w:rPr>
  </w:style>
  <w:style w:type="character" w:styleId="FootnoteCharacters" w:customStyle="1">
    <w:name w:val="Footnote Characters"/>
    <w:uiPriority w:val="99"/>
    <w:semiHidden/>
    <w:unhideWhenUsed/>
    <w:qFormat/>
    <w:rsid w:val="005b460f"/>
    <w:rPr>
      <w:vertAlign w:val="superscript"/>
    </w:rPr>
  </w:style>
  <w:style w:type="character" w:styleId="19" w:customStyle="1">
    <w:name w:val="Знак концевой сноски1"/>
    <w:qFormat/>
    <w:rsid w:val="005b460f"/>
    <w:rPr>
      <w:vertAlign w:val="superscript"/>
    </w:rPr>
  </w:style>
  <w:style w:type="character" w:styleId="Style23" w:customStyle="1">
    <w:name w:val="Символ концевой сноски"/>
    <w:qFormat/>
    <w:rsid w:val="005b460f"/>
    <w:rPr/>
  </w:style>
  <w:style w:type="character" w:styleId="Annotationreference">
    <w:name w:val="annotation reference"/>
    <w:uiPriority w:val="99"/>
    <w:semiHidden/>
    <w:unhideWhenUsed/>
    <w:qFormat/>
    <w:rsid w:val="005b460f"/>
    <w:rPr>
      <w:sz w:val="16"/>
      <w:szCs w:val="16"/>
    </w:rPr>
  </w:style>
  <w:style w:type="character" w:styleId="Style24" w:customStyle="1">
    <w:name w:val="Текст примечания Знак"/>
    <w:uiPriority w:val="99"/>
    <w:semiHidden/>
    <w:qFormat/>
    <w:rsid w:val="005b460f"/>
    <w:rPr>
      <w:rFonts w:ascii="Times New Roman" w:hAnsi="Times New Roman"/>
      <w:szCs w:val="20"/>
    </w:rPr>
  </w:style>
  <w:style w:type="character" w:styleId="Style25" w:customStyle="1">
    <w:name w:val="Тема примечания Знак"/>
    <w:uiPriority w:val="99"/>
    <w:semiHidden/>
    <w:qFormat/>
    <w:rsid w:val="005b460f"/>
    <w:rPr>
      <w:rFonts w:ascii="Times New Roman" w:hAnsi="Times New Roman"/>
      <w:b/>
      <w:bCs/>
      <w:szCs w:val="20"/>
    </w:rPr>
  </w:style>
  <w:style w:type="character" w:styleId="110" w:customStyle="1">
    <w:name w:val="Текст сноски Знак1"/>
    <w:uiPriority w:val="99"/>
    <w:semiHidden/>
    <w:qFormat/>
    <w:rsid w:val="005b460f"/>
    <w:rPr>
      <w:lang w:eastAsia="en-US"/>
    </w:rPr>
  </w:style>
  <w:style w:type="character" w:styleId="111" w:customStyle="1">
    <w:name w:val="Текст примечания Знак1"/>
    <w:link w:val="Annotationtext"/>
    <w:uiPriority w:val="99"/>
    <w:semiHidden/>
    <w:qFormat/>
    <w:rsid w:val="005b460f"/>
    <w:rPr>
      <w:rFonts w:eastAsia="Calibri"/>
      <w:lang w:eastAsia="en-US"/>
    </w:rPr>
  </w:style>
  <w:style w:type="character" w:styleId="112" w:customStyle="1">
    <w:name w:val="Тема примечания Знак1"/>
    <w:link w:val="Annotationsubject"/>
    <w:uiPriority w:val="99"/>
    <w:semiHidden/>
    <w:qFormat/>
    <w:rsid w:val="005b460f"/>
    <w:rPr>
      <w:rFonts w:eastAsia="Calibri"/>
      <w:b/>
      <w:bCs/>
      <w:lang w:eastAsia="en-US"/>
    </w:rPr>
  </w:style>
  <w:style w:type="character" w:styleId="Qowt-font2-timesnewroman" w:customStyle="1">
    <w:name w:val="qowt-font2-timesnewroman"/>
    <w:basedOn w:val="DefaultParagraphFont"/>
    <w:qFormat/>
    <w:rsid w:val="005b460f"/>
    <w:rPr/>
  </w:style>
  <w:style w:type="character" w:styleId="113">
    <w:name w:val="Основной шрифт абзаца1"/>
    <w:qFormat/>
    <w:rPr/>
  </w:style>
  <w:style w:type="character" w:styleId="23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26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27">
    <w:name w:val="Заголовок"/>
    <w:basedOn w:val="Normal"/>
    <w:next w:val="Style2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8">
    <w:name w:val="Body Text"/>
    <w:basedOn w:val="Normal"/>
    <w:rsid w:val="00697e5d"/>
    <w:pPr>
      <w:spacing w:lineRule="auto" w:line="288" w:before="0" w:after="140"/>
    </w:pPr>
    <w:rPr>
      <w:rFonts w:eastAsia="Calibri"/>
      <w:lang w:val="x-none" w:eastAsia="en-US"/>
    </w:rPr>
  </w:style>
  <w:style w:type="paragraph" w:styleId="Style29">
    <w:name w:val="List"/>
    <w:basedOn w:val="Style28"/>
    <w:rsid w:val="00697e5d"/>
    <w:pPr/>
    <w:rPr>
      <w:rFonts w:cs="Mangal"/>
    </w:rPr>
  </w:style>
  <w:style w:type="paragraph" w:styleId="Style3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31">
    <w:name w:val="Указатель"/>
    <w:basedOn w:val="Normal"/>
    <w:qFormat/>
    <w:pPr>
      <w:suppressLineNumbers/>
    </w:pPr>
    <w:rPr>
      <w:rFonts w:cs="Lucida Sans"/>
    </w:rPr>
  </w:style>
  <w:style w:type="paragraph" w:styleId="Style32">
    <w:name w:val="Title"/>
    <w:basedOn w:val="Normal"/>
    <w:next w:val="Style2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rsid w:val="00697e5d"/>
    <w:pPr>
      <w:suppressLineNumbers/>
    </w:pPr>
    <w:rPr>
      <w:rFonts w:eastAsia="Calibri" w:cs="Mangal"/>
      <w:lang w:eastAsia="en-US"/>
    </w:rPr>
  </w:style>
  <w:style w:type="paragraph" w:styleId="114" w:customStyle="1">
    <w:name w:val="Заголовок1"/>
    <w:basedOn w:val="Normal"/>
    <w:next w:val="Style28"/>
    <w:qFormat/>
    <w:rsid w:val="005b460f"/>
    <w:pPr>
      <w:keepNext w:val="true"/>
      <w:spacing w:lineRule="auto" w:line="240" w:before="240" w:after="120"/>
    </w:pPr>
    <w:rPr>
      <w:rFonts w:ascii="Liberation Sans" w:hAnsi="Liberation Sans" w:eastAsia="Noto Sans CJK SC" w:cs="Lohit Devanagari"/>
      <w:sz w:val="28"/>
      <w:szCs w:val="28"/>
      <w:lang w:eastAsia="en-US"/>
    </w:rPr>
  </w:style>
  <w:style w:type="paragraph" w:styleId="115" w:customStyle="1">
    <w:name w:val="Название1"/>
    <w:basedOn w:val="Normal"/>
    <w:qFormat/>
    <w:rsid w:val="00025080"/>
    <w:pPr>
      <w:spacing w:lineRule="auto" w:line="240" w:before="0" w:after="0"/>
      <w:jc w:val="center"/>
    </w:pPr>
    <w:rPr>
      <w:rFonts w:ascii="Times New Roman" w:hAnsi="Times New Roman"/>
      <w:sz w:val="28"/>
      <w:szCs w:val="28"/>
      <w:lang w:val="x-none"/>
    </w:rPr>
  </w:style>
  <w:style w:type="paragraph" w:styleId="116" w:customStyle="1">
    <w:name w:val="Абзац списка1"/>
    <w:basedOn w:val="Normal"/>
    <w:qFormat/>
    <w:rsid w:val="00586446"/>
    <w:pPr>
      <w:spacing w:before="0" w:after="200"/>
      <w:ind w:left="720" w:hanging="0"/>
      <w:contextualSpacing/>
    </w:pPr>
    <w:rPr/>
  </w:style>
  <w:style w:type="paragraph" w:styleId="BodyTextIndent2">
    <w:name w:val="Body Text Indent 2"/>
    <w:basedOn w:val="Normal"/>
    <w:qFormat/>
    <w:rsid w:val="00753703"/>
    <w:pPr>
      <w:spacing w:lineRule="auto" w:line="240" w:before="0" w:after="0"/>
      <w:ind w:firstLine="720"/>
      <w:jc w:val="both"/>
    </w:pPr>
    <w:rPr>
      <w:rFonts w:ascii="Times New Roman" w:hAnsi="Times New Roman"/>
      <w:sz w:val="28"/>
      <w:szCs w:val="28"/>
      <w:lang w:val="x-none"/>
    </w:rPr>
  </w:style>
  <w:style w:type="paragraph" w:styleId="121" w:customStyle="1">
    <w:name w:val="Заголовок 12"/>
    <w:basedOn w:val="Normal"/>
    <w:qFormat/>
    <w:rsid w:val="00753703"/>
    <w:pPr>
      <w:spacing w:lineRule="auto" w:line="240" w:before="0" w:after="0"/>
      <w:jc w:val="center"/>
      <w:outlineLvl w:val="1"/>
    </w:pPr>
    <w:rPr>
      <w:rFonts w:ascii="Arial" w:hAnsi="Arial" w:eastAsia="Calibri" w:cs="Arial"/>
      <w:b/>
      <w:bCs/>
      <w:color w:val="666699"/>
      <w:sz w:val="28"/>
      <w:szCs w:val="28"/>
    </w:rPr>
  </w:style>
  <w:style w:type="paragraph" w:styleId="Style33">
    <w:name w:val="Subtitle"/>
    <w:basedOn w:val="Normal"/>
    <w:qFormat/>
    <w:rsid w:val="00753703"/>
    <w:pPr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Style34" w:customStyle="1">
    <w:name w:val="Колонтитул"/>
    <w:basedOn w:val="Normal"/>
    <w:qFormat/>
    <w:pPr/>
    <w:rPr/>
  </w:style>
  <w:style w:type="paragraph" w:styleId="Style35">
    <w:name w:val="Header"/>
    <w:basedOn w:val="Normal"/>
    <w:uiPriority w:val="99"/>
    <w:rsid w:val="0075370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Style36">
    <w:name w:val="Footer"/>
    <w:basedOn w:val="Normal"/>
    <w:uiPriority w:val="99"/>
    <w:rsid w:val="0075370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BalloonText">
    <w:name w:val="Balloon Text"/>
    <w:basedOn w:val="Normal"/>
    <w:uiPriority w:val="99"/>
    <w:semiHidden/>
    <w:qFormat/>
    <w:rsid w:val="00753703"/>
    <w:pPr>
      <w:spacing w:lineRule="auto" w:line="240" w:before="0" w:after="0"/>
    </w:pPr>
    <w:rPr>
      <w:rFonts w:ascii="Tahoma" w:hAnsi="Tahoma" w:cs="Tahoma"/>
      <w:sz w:val="16"/>
      <w:szCs w:val="16"/>
      <w:lang w:val="x-none"/>
    </w:rPr>
  </w:style>
  <w:style w:type="paragraph" w:styleId="ConsPlusCell" w:customStyle="1">
    <w:name w:val="ConsPlusCell"/>
    <w:qFormat/>
    <w:rsid w:val="00753703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8"/>
      <w:szCs w:val="28"/>
      <w:lang w:val="ru-RU" w:eastAsia="ru-RU" w:bidi="ar-SA"/>
    </w:rPr>
  </w:style>
  <w:style w:type="paragraph" w:styleId="Default" w:customStyle="1">
    <w:name w:val="Default"/>
    <w:qFormat/>
    <w:rsid w:val="0075370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Tekstob" w:customStyle="1">
    <w:name w:val="tekstob"/>
    <w:basedOn w:val="Normal"/>
    <w:qFormat/>
    <w:rsid w:val="00753703"/>
    <w:pPr>
      <w:spacing w:lineRule="auto" w:line="240" w:beforeAutospacing="1" w:afterAutospacing="1"/>
    </w:pPr>
    <w:rPr>
      <w:rFonts w:ascii="Times New Roman" w:hAnsi="Times New Roman" w:eastAsia="Calibri"/>
      <w:sz w:val="24"/>
      <w:szCs w:val="24"/>
    </w:rPr>
  </w:style>
  <w:style w:type="paragraph" w:styleId="ConsPlusNonformat" w:customStyle="1">
    <w:name w:val="ConsPlusNonformat"/>
    <w:uiPriority w:val="99"/>
    <w:qFormat/>
    <w:rsid w:val="00586446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Calibri" w:cs="Courier New"/>
      <w:color w:val="auto"/>
      <w:kern w:val="0"/>
      <w:sz w:val="22"/>
      <w:szCs w:val="20"/>
      <w:lang w:val="ru-RU" w:eastAsia="ru-RU" w:bidi="ar-SA"/>
    </w:rPr>
  </w:style>
  <w:style w:type="paragraph" w:styleId="DocumentMap">
    <w:name w:val="Document Map"/>
    <w:basedOn w:val="Normal"/>
    <w:uiPriority w:val="99"/>
    <w:unhideWhenUsed/>
    <w:qFormat/>
    <w:rsid w:val="00586446"/>
    <w:pPr>
      <w:spacing w:lineRule="auto" w:line="240" w:before="0" w:after="0"/>
    </w:pPr>
    <w:rPr>
      <w:rFonts w:ascii="Times New Roman" w:hAnsi="Times New Roman" w:eastAsia="Calibri"/>
      <w:b/>
      <w:sz w:val="28"/>
      <w:szCs w:val="28"/>
      <w:lang w:val="x-none"/>
    </w:rPr>
  </w:style>
  <w:style w:type="paragraph" w:styleId="ListParagraph">
    <w:name w:val="List Paragraph"/>
    <w:basedOn w:val="Normal"/>
    <w:uiPriority w:val="34"/>
    <w:qFormat/>
    <w:rsid w:val="00586446"/>
    <w:pPr>
      <w:spacing w:lineRule="auto" w:line="240" w:before="0" w:after="0"/>
      <w:ind w:left="720" w:hanging="0"/>
      <w:contextualSpacing/>
    </w:pPr>
    <w:rPr>
      <w:rFonts w:ascii="Times New Roman" w:hAnsi="Times New Roman"/>
      <w:sz w:val="24"/>
      <w:szCs w:val="24"/>
    </w:rPr>
  </w:style>
  <w:style w:type="paragraph" w:styleId="117" w:customStyle="1">
    <w:name w:val="Основной текст1"/>
    <w:basedOn w:val="Normal"/>
    <w:qFormat/>
    <w:rsid w:val="003e2eb0"/>
    <w:pPr>
      <w:widowControl w:val="false"/>
      <w:shd w:val="clear" w:color="auto" w:fill="FFFFFF"/>
      <w:spacing w:lineRule="exact" w:line="317" w:before="0" w:after="0"/>
      <w:jc w:val="both"/>
    </w:pPr>
    <w:rPr>
      <w:rFonts w:ascii="Times New Roman" w:hAnsi="Times New Roman"/>
      <w:color w:val="000000"/>
      <w:sz w:val="28"/>
      <w:szCs w:val="28"/>
      <w:lang w:val="x-none" w:eastAsia="zh-CN" w:bidi="hi-IN"/>
    </w:rPr>
  </w:style>
  <w:style w:type="paragraph" w:styleId="221" w:customStyle="1">
    <w:name w:val="Основной текст с отступом 2 Знак2"/>
    <w:basedOn w:val="Normal"/>
    <w:qFormat/>
    <w:rsid w:val="00025080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  <w:lang w:eastAsia="en-US"/>
    </w:rPr>
  </w:style>
  <w:style w:type="paragraph" w:styleId="Index1">
    <w:name w:val="index 1"/>
    <w:basedOn w:val="Normal"/>
    <w:autoRedefine/>
    <w:uiPriority w:val="99"/>
    <w:semiHidden/>
    <w:unhideWhenUsed/>
    <w:qFormat/>
    <w:rsid w:val="00697e5d"/>
    <w:pPr>
      <w:spacing w:lineRule="auto" w:line="240" w:before="0" w:after="0"/>
      <w:ind w:left="220" w:hanging="220"/>
    </w:pPr>
    <w:rPr/>
  </w:style>
  <w:style w:type="paragraph" w:styleId="ConsPlusNormal" w:customStyle="1">
    <w:name w:val="ConsPlusNormal"/>
    <w:qFormat/>
    <w:rsid w:val="00697e5d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2"/>
      <w:szCs w:val="20"/>
      <w:lang w:val="ru-RU" w:eastAsia="ru-RU" w:bidi="ar-SA"/>
    </w:rPr>
  </w:style>
  <w:style w:type="paragraph" w:styleId="ConsPlusTitle" w:customStyle="1">
    <w:name w:val="ConsPlusTitle"/>
    <w:qFormat/>
    <w:rsid w:val="00697e5d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2"/>
      <w:szCs w:val="20"/>
      <w:lang w:val="ru-RU" w:eastAsia="ru-RU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24" w:customStyle="1">
    <w:name w:val="Абзац списка2"/>
    <w:basedOn w:val="Normal"/>
    <w:qFormat/>
    <w:rsid w:val="00697e5d"/>
    <w:pPr>
      <w:ind w:left="720" w:hanging="0"/>
    </w:pPr>
    <w:rPr/>
  </w:style>
  <w:style w:type="paragraph" w:styleId="Style37" w:customStyle="1">
    <w:name w:val="Содержимое врезки"/>
    <w:basedOn w:val="Normal"/>
    <w:qFormat/>
    <w:rsid w:val="00697e5d"/>
    <w:pPr/>
    <w:rPr>
      <w:rFonts w:eastAsia="Calibri"/>
      <w:lang w:eastAsia="en-US"/>
    </w:rPr>
  </w:style>
  <w:style w:type="paragraph" w:styleId="Style38" w:customStyle="1">
    <w:name w:val="Блочная цитата"/>
    <w:basedOn w:val="Normal"/>
    <w:qFormat/>
    <w:rsid w:val="00697e5d"/>
    <w:pPr/>
    <w:rPr>
      <w:rFonts w:eastAsia="Calibri"/>
      <w:lang w:eastAsia="en-US"/>
    </w:rPr>
  </w:style>
  <w:style w:type="paragraph" w:styleId="Style39">
    <w:name w:val="Footnote Text"/>
    <w:basedOn w:val="Normal"/>
    <w:link w:val="110"/>
    <w:uiPriority w:val="99"/>
    <w:semiHidden/>
    <w:qFormat/>
    <w:rsid w:val="00d726a7"/>
    <w:pPr>
      <w:spacing w:lineRule="auto" w:line="240" w:before="0" w:after="0"/>
    </w:pPr>
    <w:rPr>
      <w:rFonts w:ascii="Times New Roman" w:hAnsi="Times New Roman"/>
      <w:sz w:val="20"/>
      <w:szCs w:val="20"/>
      <w:lang w:eastAsia="en-US"/>
    </w:rPr>
  </w:style>
  <w:style w:type="paragraph" w:styleId="Msonormal" w:customStyle="1">
    <w:name w:val="msonormal"/>
    <w:basedOn w:val="Normal"/>
    <w:qFormat/>
    <w:rsid w:val="00253672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Caption11" w:customStyle="1">
    <w:name w:val="caption11"/>
    <w:basedOn w:val="Normal"/>
    <w:qFormat/>
    <w:rsid w:val="005b460f"/>
    <w:pPr>
      <w:suppressLineNumbers/>
      <w:spacing w:lineRule="auto" w:line="240" w:before="120" w:after="120"/>
    </w:pPr>
    <w:rPr>
      <w:rFonts w:ascii="Times New Roman" w:hAnsi="Times New Roman" w:eastAsia="Calibri" w:cs="Lohit Devanagari"/>
      <w:i/>
      <w:iCs/>
      <w:sz w:val="24"/>
      <w:szCs w:val="24"/>
      <w:lang w:eastAsia="en-US"/>
    </w:rPr>
  </w:style>
  <w:style w:type="paragraph" w:styleId="Style40" w:customStyle="1">
    <w:name w:val="Верхний и нижний колонтитулы"/>
    <w:basedOn w:val="Normal"/>
    <w:qFormat/>
    <w:rsid w:val="005b460f"/>
    <w:pPr>
      <w:spacing w:lineRule="auto" w:line="240" w:before="0" w:after="0"/>
    </w:pPr>
    <w:rPr>
      <w:rFonts w:ascii="Times New Roman" w:hAnsi="Times New Roman" w:eastAsia="Calibri"/>
      <w:sz w:val="28"/>
      <w:lang w:eastAsia="en-US"/>
    </w:rPr>
  </w:style>
  <w:style w:type="paragraph" w:styleId="Annotationtext">
    <w:name w:val="annotation text"/>
    <w:basedOn w:val="Normal"/>
    <w:link w:val="111"/>
    <w:uiPriority w:val="99"/>
    <w:semiHidden/>
    <w:unhideWhenUsed/>
    <w:qFormat/>
    <w:rsid w:val="005b460f"/>
    <w:pPr>
      <w:spacing w:lineRule="auto" w:line="240" w:before="0" w:after="0"/>
    </w:pPr>
    <w:rPr>
      <w:rFonts w:ascii="Times New Roman" w:hAnsi="Times New Roman" w:eastAsia="Calibri"/>
      <w:sz w:val="20"/>
      <w:szCs w:val="20"/>
      <w:lang w:eastAsia="en-US"/>
    </w:rPr>
  </w:style>
  <w:style w:type="paragraph" w:styleId="Annotationsubject">
    <w:name w:val="annotation subject"/>
    <w:basedOn w:val="Annotationtext"/>
    <w:link w:val="112"/>
    <w:uiPriority w:val="99"/>
    <w:semiHidden/>
    <w:unhideWhenUsed/>
    <w:qFormat/>
    <w:rsid w:val="005b460f"/>
    <w:pPr/>
    <w:rPr>
      <w:b/>
      <w:bCs/>
    </w:rPr>
  </w:style>
  <w:style w:type="paragraph" w:styleId="Style41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Style42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43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44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18">
    <w:name w:val="Указатель1"/>
    <w:basedOn w:val="Normal"/>
    <w:qFormat/>
    <w:pPr/>
    <w:rPr>
      <w:rFonts w:cs="Mangal"/>
    </w:rPr>
  </w:style>
  <w:style w:type="paragraph" w:styleId="119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5">
    <w:name w:val="Указатель2"/>
    <w:basedOn w:val="Normal"/>
    <w:qFormat/>
    <w:pPr/>
    <w:rPr>
      <w:rFonts w:cs="Mangal"/>
    </w:rPr>
  </w:style>
  <w:style w:type="paragraph" w:styleId="Style45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numbering" w:styleId="120" w:customStyle="1">
    <w:name w:val="Нет списка1"/>
    <w:uiPriority w:val="99"/>
    <w:semiHidden/>
    <w:unhideWhenUsed/>
    <w:qFormat/>
    <w:rsid w:val="00697e5d"/>
  </w:style>
  <w:style w:type="numbering" w:styleId="26" w:customStyle="1">
    <w:name w:val="Нет списка2"/>
    <w:uiPriority w:val="99"/>
    <w:semiHidden/>
    <w:unhideWhenUsed/>
    <w:qFormat/>
    <w:rsid w:val="005b460f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Grid"/>
    <w:basedOn w:val="a1"/>
    <w:uiPriority w:val="39"/>
    <w:rsid w:val="004135c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f3">
    <w:name w:val="Сетка таблицы1"/>
    <w:basedOn w:val="a1"/>
    <w:uiPriority w:val="59"/>
    <w:rsid w:val="00697e5d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5">
    <w:name w:val="Сетка таблицы2"/>
    <w:basedOn w:val="a1"/>
    <w:uiPriority w:val="39"/>
    <w:rsid w:val="005b460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header" Target="header6.xml"/><Relationship Id="rId9" Type="http://schemas.openxmlformats.org/officeDocument/2006/relationships/header" Target="header7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ECB8B-206A-4C8E-A262-4A1DEC66A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LibreOffice/7.5.7.1$Windows_X86_64 LibreOffice_project/47eb0cf7efbacdee9b19ae25d6752381ede23126</Application>
  <AppVersion>15.0000</AppVersion>
  <Pages>18</Pages>
  <Words>2681</Words>
  <Characters>17674</Characters>
  <CharactersWithSpaces>19675</CharactersWithSpaces>
  <Paragraphs>760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dc:description/>
  <dc:language>ru-RU</dc:language>
  <cp:lastModifiedBy/>
  <cp:lastPrinted>2025-09-01T10:35:49Z</cp:lastPrinted>
  <dcterms:modified xsi:type="dcterms:W3CDTF">2025-09-01T10:40:22Z</dcterms:modified>
  <cp:revision>5</cp:revision>
  <dc:subject/>
  <dc:title>О внесении изменений в постановление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