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numPr>
          <w:ilvl w:val="0"/>
          <w:numId w:val="0"/>
        </w:numPr>
        <w:spacing w:before="120" w:after="0"/>
        <w:ind w:left="0" w:firstLine="709"/>
        <w:jc w:val="left"/>
        <w:rPr>
          <w:szCs w:val="32"/>
        </w:rPr>
      </w:pPr>
      <w:r>
        <w:drawing>
          <wp:anchor behindDoc="0" distT="0" distB="0" distL="0" distR="0" simplePos="0" locked="0" layoutInCell="1" allowOverlap="1" relativeHeight="2">
            <wp:simplePos x="0" y="0"/>
            <wp:positionH relativeFrom="column">
              <wp:posOffset>-306705</wp:posOffset>
            </wp:positionH>
            <wp:positionV relativeFrom="paragraph">
              <wp:posOffset>16510</wp:posOffset>
            </wp:positionV>
            <wp:extent cx="608965" cy="786765"/>
            <wp:effectExtent l="0" t="0" r="0" b="0"/>
            <wp:wrapNone/>
            <wp:docPr id="1"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
                    <pic:cNvPicPr>
                      <a:picLocks noChangeAspect="1" noChangeArrowheads="1"/>
                    </pic:cNvPicPr>
                  </pic:nvPicPr>
                  <pic:blipFill>
                    <a:blip r:embed="rId2"/>
                    <a:srcRect l="-10" t="-8" r="-10" b="-8"/>
                    <a:stretch>
                      <a:fillRect/>
                    </a:stretch>
                  </pic:blipFill>
                  <pic:spPr bwMode="auto">
                    <a:xfrm>
                      <a:off x="0" y="0"/>
                      <a:ext cx="608965" cy="786765"/>
                    </a:xfrm>
                    <a:prstGeom prst="rect">
                      <a:avLst/>
                    </a:prstGeom>
                  </pic:spPr>
                </pic:pic>
              </a:graphicData>
            </a:graphic>
          </wp:anchor>
        </w:drawing>
      </w:r>
      <w:r>
        <w:rPr>
          <w:szCs w:val="32"/>
          <w:lang w:eastAsia="ru-RU"/>
        </w:rPr>
        <w:t xml:space="preserve">  </w:t>
      </w:r>
      <w:r>
        <w:rPr>
          <w:szCs w:val="32"/>
          <w:lang w:eastAsia="ru-RU"/>
        </w:rPr>
        <w:t>АДМИНИСТРАЦИЯ ГОРОДСКОГО ОКРУГА ФРЯЗИНО</w:t>
      </w:r>
    </w:p>
    <w:p>
      <w:pPr>
        <w:pStyle w:val="3"/>
        <w:numPr>
          <w:ilvl w:val="2"/>
          <w:numId w:val="2"/>
        </w:numPr>
        <w:spacing w:before="240" w:after="0"/>
        <w:ind w:left="2410" w:hanging="0"/>
        <w:jc w:val="left"/>
        <w:rPr/>
      </w:pPr>
      <w:r>
        <w:rPr>
          <w:sz w:val="46"/>
          <w:szCs w:val="46"/>
        </w:rPr>
        <w:t>ПОСТАНОВЛЕНИЕ</w:t>
      </w:r>
    </w:p>
    <w:p>
      <w:pPr>
        <w:pStyle w:val="Normal"/>
        <w:spacing w:before="60" w:after="160"/>
        <w:ind w:left="1134" w:hanging="0"/>
        <w:rPr>
          <w:sz w:val="28"/>
          <w:szCs w:val="46"/>
        </w:rPr>
      </w:pPr>
      <w:r>
        <w:rPr>
          <w:sz w:val="28"/>
          <w:szCs w:val="46"/>
        </w:rPr>
      </w:r>
    </w:p>
    <w:p>
      <w:pPr>
        <w:pStyle w:val="Normal"/>
        <w:spacing w:before="60" w:after="160"/>
        <w:jc w:val="center"/>
        <w:rPr>
          <w:rFonts w:ascii="Times New Roman" w:hAnsi="Times New Roman" w:cs="Times New Roman"/>
          <w:sz w:val="28"/>
          <w:szCs w:val="28"/>
        </w:rPr>
      </w:pPr>
      <w:r>
        <w:rPr>
          <w:rFonts w:cs="Times New Roman" w:ascii="Times New Roman" w:hAnsi="Times New Roman"/>
          <w:b/>
          <w:bCs/>
          <w:sz w:val="28"/>
          <w:szCs w:val="28"/>
        </w:rPr>
        <w:t>о</w:t>
      </w:r>
      <w:r>
        <w:rPr>
          <w:rFonts w:cs="Times New Roman" w:ascii="Times New Roman" w:hAnsi="Times New Roman"/>
          <w:b/>
          <w:bCs/>
          <w:sz w:val="28"/>
          <w:szCs w:val="28"/>
        </w:rPr>
        <w:t>т</w:t>
      </w:r>
      <w:r>
        <w:rPr>
          <w:rFonts w:cs="Times New Roman" w:ascii="Times New Roman" w:hAnsi="Times New Roman"/>
          <w:sz w:val="28"/>
          <w:szCs w:val="28"/>
        </w:rPr>
        <w:t xml:space="preserve"> </w:t>
      </w:r>
      <w:r>
        <w:rPr>
          <w:rFonts w:cs="Times New Roman" w:ascii="Times New Roman" w:hAnsi="Times New Roman"/>
          <w:sz w:val="28"/>
          <w:szCs w:val="28"/>
        </w:rPr>
        <w:t>17.09.2026</w:t>
      </w:r>
      <w:r>
        <w:rPr>
          <w:rFonts w:cs="Times New Roman" w:ascii="Times New Roman" w:hAnsi="Times New Roman"/>
          <w:sz w:val="28"/>
          <w:szCs w:val="28"/>
        </w:rPr>
        <w:t xml:space="preserve"> </w:t>
      </w:r>
      <w:r>
        <w:rPr>
          <w:rFonts w:cs="Times New Roman" w:ascii="Times New Roman" w:hAnsi="Times New Roman"/>
          <w:b/>
          <w:sz w:val="28"/>
          <w:szCs w:val="28"/>
        </w:rPr>
        <w:t>№</w:t>
      </w:r>
      <w:r>
        <w:rPr>
          <w:rFonts w:cs="Times New Roman" w:ascii="Times New Roman" w:hAnsi="Times New Roman"/>
          <w:sz w:val="28"/>
          <w:szCs w:val="28"/>
        </w:rPr>
        <w:t xml:space="preserve"> </w:t>
      </w:r>
      <w:r>
        <w:rPr>
          <w:rFonts w:cs="Times New Roman" w:ascii="Times New Roman" w:hAnsi="Times New Roman"/>
          <w:sz w:val="28"/>
          <w:szCs w:val="28"/>
        </w:rPr>
        <w:t>776</w:t>
      </w:r>
    </w:p>
    <w:p>
      <w:pPr>
        <w:pStyle w:val="Normal"/>
        <w:suppressAutoHyphens w:val="true"/>
        <w:spacing w:lineRule="auto" w:line="240" w:before="60" w:after="0"/>
        <w:ind w:left="1134" w:firstLine="2"/>
        <w:jc w:val="center"/>
        <w:rPr>
          <w:rFonts w:ascii="Times New Roman" w:hAnsi="Times New Roman" w:eastAsia="Times New Roman" w:cs="Times New Roman"/>
          <w:sz w:val="24"/>
          <w:szCs w:val="24"/>
          <w:lang w:eastAsia="zh-CN"/>
        </w:rPr>
      </w:pPr>
      <w:r>
        <w:rPr>
          <w:rFonts w:eastAsia="Times New Roman" w:cs="Times New Roman" w:ascii="Times New Roman" w:hAnsi="Times New Roman"/>
          <w:sz w:val="24"/>
          <w:szCs w:val="24"/>
          <w:lang w:eastAsia="zh-CN"/>
        </w:rPr>
      </w:r>
    </w:p>
    <w:p>
      <w:pPr>
        <w:pStyle w:val="Normal"/>
        <w:ind w:right="4394" w:hanging="0"/>
        <w:jc w:val="both"/>
        <w:rPr>
          <w:rFonts w:ascii="Times New Roman" w:hAnsi="Times New Roman" w:cs="Times New Roman"/>
          <w:sz w:val="28"/>
          <w:szCs w:val="28"/>
        </w:rPr>
      </w:pPr>
      <w:r>
        <w:rPr/>
      </w:r>
    </w:p>
    <w:p>
      <w:pPr>
        <w:pStyle w:val="Normal"/>
        <w:ind w:right="4394" w:hanging="0"/>
        <w:jc w:val="both"/>
        <w:rPr>
          <w:rFonts w:ascii="Times New Roman" w:hAnsi="Times New Roman" w:cs="Times New Roman"/>
          <w:sz w:val="28"/>
          <w:szCs w:val="28"/>
        </w:rPr>
      </w:pPr>
      <w:r>
        <w:rPr>
          <w:rFonts w:cs="Times New Roman" w:ascii="Times New Roman" w:hAnsi="Times New Roman"/>
          <w:sz w:val="28"/>
          <w:szCs w:val="28"/>
        </w:rPr>
        <w:t>О прогнозе социально-экономического развития городского округа Фрязино Московской области на 2027-2029 годы</w:t>
      </w:r>
    </w:p>
    <w:p>
      <w:pPr>
        <w:pStyle w:val="Normal"/>
        <w:ind w:right="-1" w:hanging="0"/>
        <w:jc w:val="both"/>
        <w:rPr>
          <w:rFonts w:ascii="Times New Roman" w:hAnsi="Times New Roman" w:cs="Times New Roman"/>
          <w:sz w:val="28"/>
          <w:szCs w:val="28"/>
        </w:rPr>
      </w:pPr>
      <w:r>
        <w:rPr>
          <w:rFonts w:cs="Times New Roman" w:ascii="Times New Roman" w:hAnsi="Times New Roman"/>
          <w:sz w:val="28"/>
          <w:szCs w:val="28"/>
        </w:rPr>
        <w:tab/>
      </w:r>
    </w:p>
    <w:p>
      <w:pPr>
        <w:pStyle w:val="Normal"/>
        <w:ind w:right="-1" w:hanging="0"/>
        <w:jc w:val="both"/>
        <w:rPr>
          <w:rFonts w:ascii="Times New Roman" w:hAnsi="Times New Roman" w:cs="Times New Roman"/>
          <w:sz w:val="28"/>
          <w:szCs w:val="28"/>
        </w:rPr>
      </w:pPr>
      <w:r>
        <w:rPr>
          <w:rFonts w:cs="Times New Roman" w:ascii="Times New Roman" w:hAnsi="Times New Roman"/>
          <w:sz w:val="28"/>
          <w:szCs w:val="28"/>
        </w:rPr>
        <w:t>В соответствии с Бюджетным кодексом Российской Федерации, Федеральным законом от 28.06.2014 № 172-ФЗ «О стратегическом планировании в Российской Федерации», Федеральным законом от 06.10.2003 № 131-ФЗ «Об общих принципах организации местного самоуправления в Российской Федерации», решением Совета депутатов городского округа Фрязино от 15.02.2021 № 45/12 «О принятии Положения о бюджетном процессе в городском округе Фрязино Московской области», руководствуясь Уставом городского округа Фрязино Московской области,</w:t>
      </w:r>
    </w:p>
    <w:p>
      <w:pPr>
        <w:pStyle w:val="Normal"/>
        <w:ind w:right="-1" w:hanging="0"/>
        <w:jc w:val="center"/>
        <w:rPr>
          <w:rFonts w:ascii="Times New Roman" w:hAnsi="Times New Roman" w:cs="Times New Roman"/>
          <w:b/>
          <w:sz w:val="28"/>
          <w:szCs w:val="28"/>
        </w:rPr>
      </w:pPr>
      <w:r>
        <w:rPr>
          <w:rFonts w:cs="Times New Roman" w:ascii="Times New Roman" w:hAnsi="Times New Roman"/>
          <w:b/>
          <w:sz w:val="28"/>
          <w:szCs w:val="28"/>
        </w:rPr>
        <w:t>п о с т а н о в л я ю:</w:t>
      </w:r>
    </w:p>
    <w:p>
      <w:pPr>
        <w:pStyle w:val="ListParagraph"/>
        <w:numPr>
          <w:ilvl w:val="0"/>
          <w:numId w:val="1"/>
        </w:numPr>
        <w:ind w:left="0" w:right="-1" w:firstLine="851"/>
        <w:jc w:val="both"/>
        <w:rPr>
          <w:rFonts w:ascii="Times New Roman" w:hAnsi="Times New Roman" w:cs="Times New Roman"/>
          <w:sz w:val="28"/>
          <w:szCs w:val="28"/>
        </w:rPr>
      </w:pPr>
      <w:r>
        <w:rPr>
          <w:rFonts w:cs="Times New Roman" w:ascii="Times New Roman" w:hAnsi="Times New Roman"/>
          <w:sz w:val="28"/>
          <w:szCs w:val="28"/>
        </w:rPr>
        <w:t xml:space="preserve">Одобрить прогноз социально-экономического развития городского округа Фрязино Московской области на 2027-2029 годы согласно приложению к настоящему постановлению и в установленном порядке представить его на рассмотрение в Совет депутатов городского округа Фрязино одновременно с проектом решения Совета депутатов городского округа Фрязино о бюджете городского округа Фрязино Московской области на 2027 год и на плановый период 2028 и 2029 годов (прилагается). </w:t>
      </w:r>
    </w:p>
    <w:p>
      <w:pPr>
        <w:pStyle w:val="ListParagraph"/>
        <w:numPr>
          <w:ilvl w:val="0"/>
          <w:numId w:val="1"/>
        </w:numPr>
        <w:ind w:left="0" w:right="-1" w:firstLine="851"/>
        <w:jc w:val="both"/>
        <w:rPr>
          <w:rFonts w:ascii="Times New Roman" w:hAnsi="Times New Roman" w:cs="Times New Roman"/>
          <w:sz w:val="28"/>
          <w:szCs w:val="28"/>
        </w:rPr>
      </w:pPr>
      <w:r>
        <w:rPr>
          <w:rFonts w:ascii="Times New Roman" w:hAnsi="Times New Roman"/>
          <w:sz w:val="28"/>
          <w:szCs w:val="28"/>
          <w:lang w:eastAsia="zh-CN"/>
        </w:rPr>
        <w:t xml:space="preserve">Опубликовать настоящее постановление на официальном сайте органов местного самоуправления муниципального образования городской округ Фрязино </w:t>
      </w:r>
      <w:r>
        <w:rPr>
          <w:rFonts w:eastAsia="Calibri" w:cs="Times New Roman" w:ascii="Times New Roman" w:hAnsi="Times New Roman"/>
          <w:sz w:val="28"/>
          <w:szCs w:val="28"/>
          <w:lang w:eastAsia="zh-CN"/>
        </w:rPr>
        <w:t xml:space="preserve">Московской области </w:t>
      </w:r>
      <w:r>
        <w:rPr>
          <w:rFonts w:ascii="Times New Roman" w:hAnsi="Times New Roman"/>
          <w:sz w:val="28"/>
          <w:szCs w:val="28"/>
          <w:lang w:eastAsia="zh-CN"/>
        </w:rPr>
        <w:t>в информационно-телекоммуникационной сети Интернет.</w:t>
      </w:r>
    </w:p>
    <w:p>
      <w:pPr>
        <w:pStyle w:val="ListParagraph"/>
        <w:numPr>
          <w:ilvl w:val="0"/>
          <w:numId w:val="1"/>
        </w:numPr>
        <w:ind w:left="0" w:right="-1" w:firstLine="851"/>
        <w:jc w:val="both"/>
        <w:rPr>
          <w:rFonts w:ascii="Times New Roman" w:hAnsi="Times New Roman" w:cs="Times New Roman"/>
          <w:sz w:val="28"/>
          <w:szCs w:val="28"/>
        </w:rPr>
      </w:pPr>
      <w:r>
        <w:rPr>
          <w:rFonts w:ascii="Times New Roman" w:hAnsi="Times New Roman"/>
          <w:sz w:val="28"/>
          <w:szCs w:val="28"/>
          <w:lang w:eastAsia="zh-CN"/>
        </w:rPr>
        <w:t>Назначить ответственным за исполнение настоящего постановления начальника отдела экономики администрации городского округа Фрязино Жданову С.В.</w:t>
      </w:r>
    </w:p>
    <w:p>
      <w:pPr>
        <w:pStyle w:val="ListParagraph"/>
        <w:numPr>
          <w:ilvl w:val="0"/>
          <w:numId w:val="1"/>
        </w:numPr>
        <w:ind w:left="0" w:right="-1" w:firstLine="851"/>
        <w:jc w:val="both"/>
        <w:rPr>
          <w:rFonts w:ascii="Times New Roman" w:hAnsi="Times New Roman" w:cs="Times New Roman"/>
          <w:sz w:val="28"/>
          <w:szCs w:val="28"/>
        </w:rPr>
      </w:pPr>
      <w:r>
        <w:rPr>
          <w:rFonts w:cs="Times New Roman" w:ascii="Times New Roman" w:hAnsi="Times New Roman"/>
          <w:sz w:val="28"/>
          <w:szCs w:val="28"/>
        </w:rPr>
        <w:t>Контроль за исполнением настоящего постановления возложить на заместителя главы городского округа Фрязино Тропина А.М.</w:t>
      </w:r>
    </w:p>
    <w:p>
      <w:pPr>
        <w:pStyle w:val="Normal"/>
        <w:widowControl w:val="false"/>
        <w:tabs>
          <w:tab w:val="clear" w:pos="708"/>
          <w:tab w:val="left" w:pos="1134" w:leader="none"/>
          <w:tab w:val="left" w:pos="3544" w:leader="none"/>
          <w:tab w:val="left" w:pos="4668" w:leader="none"/>
          <w:tab w:val="right" w:pos="9639" w:leader="none"/>
        </w:tabs>
        <w:spacing w:before="0" w:after="0"/>
        <w:jc w:val="both"/>
        <w:rPr>
          <w:rFonts w:ascii="Times New Roman" w:hAnsi="Times New Roman" w:cs="Times New Roman"/>
          <w:sz w:val="28"/>
          <w:szCs w:val="28"/>
          <w:lang w:eastAsia="ar-SA"/>
        </w:rPr>
      </w:pPr>
      <w:r>
        <w:rPr>
          <w:rFonts w:cs="Times New Roman" w:ascii="Times New Roman" w:hAnsi="Times New Roman"/>
          <w:sz w:val="28"/>
          <w:szCs w:val="28"/>
          <w:lang w:eastAsia="ar-SA"/>
        </w:rPr>
      </w:r>
    </w:p>
    <w:p>
      <w:pPr>
        <w:sectPr>
          <w:headerReference w:type="default" r:id="rId3"/>
          <w:type w:val="nextPage"/>
          <w:pgSz w:w="11906" w:h="16838"/>
          <w:pgMar w:left="1701" w:right="849" w:gutter="0" w:header="500" w:top="926" w:footer="0" w:bottom="1125"/>
          <w:pgNumType w:fmt="decimal"/>
          <w:formProt w:val="false"/>
          <w:textDirection w:val="lrTb"/>
          <w:docGrid w:type="default" w:linePitch="360" w:charSpace="4096"/>
        </w:sectPr>
        <w:pStyle w:val="Normal"/>
        <w:widowControl w:val="false"/>
        <w:tabs>
          <w:tab w:val="clear" w:pos="708"/>
          <w:tab w:val="left" w:pos="1134" w:leader="none"/>
          <w:tab w:val="left" w:pos="3544" w:leader="none"/>
          <w:tab w:val="left" w:pos="4668" w:leader="none"/>
          <w:tab w:val="right" w:pos="9639" w:leader="none"/>
        </w:tabs>
        <w:spacing w:before="0" w:after="0"/>
        <w:jc w:val="both"/>
        <w:rPr>
          <w:rFonts w:ascii="Times New Roman" w:hAnsi="Times New Roman" w:cs="Times New Roman"/>
          <w:sz w:val="28"/>
          <w:szCs w:val="28"/>
          <w:lang w:eastAsia="ar-SA"/>
        </w:rPr>
      </w:pPr>
      <w:r>
        <w:rPr>
          <w:rFonts w:cs="Times New Roman" w:ascii="Times New Roman" w:hAnsi="Times New Roman"/>
          <w:sz w:val="28"/>
          <w:szCs w:val="28"/>
          <w:lang w:eastAsia="ar-SA"/>
        </w:rPr>
        <w:t>Глава городского округа Фрязино</w:t>
        <w:tab/>
        <w:t xml:space="preserve">                                         Д.Р. Воробьев</w:t>
      </w:r>
    </w:p>
    <w:p>
      <w:pPr>
        <w:pStyle w:val="Normal"/>
        <w:widowControl w:val="false"/>
        <w:tabs>
          <w:tab w:val="clear" w:pos="708"/>
          <w:tab w:val="left" w:pos="1134" w:leader="none"/>
          <w:tab w:val="left" w:pos="3544" w:leader="none"/>
          <w:tab w:val="left" w:pos="4668" w:leader="none"/>
          <w:tab w:val="right" w:pos="9639" w:leader="none"/>
        </w:tabs>
        <w:spacing w:before="0" w:after="0"/>
        <w:ind w:left="9781" w:hanging="0"/>
        <w:jc w:val="both"/>
        <w:rPr>
          <w:rFonts w:ascii="Times New Roman" w:hAnsi="Times New Roman" w:cs="Times New Roman"/>
          <w:sz w:val="28"/>
          <w:szCs w:val="28"/>
          <w:lang w:eastAsia="ar-SA"/>
        </w:rPr>
      </w:pPr>
      <w:r>
        <w:rPr>
          <w:rFonts w:cs="Times New Roman" w:ascii="Times New Roman" w:hAnsi="Times New Roman"/>
          <w:sz w:val="28"/>
          <w:szCs w:val="28"/>
          <w:lang w:eastAsia="ar-SA"/>
        </w:rPr>
        <w:t>Приложение</w:t>
      </w:r>
    </w:p>
    <w:p>
      <w:pPr>
        <w:pStyle w:val="Normal"/>
        <w:widowControl w:val="false"/>
        <w:tabs>
          <w:tab w:val="clear" w:pos="708"/>
          <w:tab w:val="left" w:pos="1134" w:leader="none"/>
          <w:tab w:val="left" w:pos="3544" w:leader="none"/>
          <w:tab w:val="left" w:pos="4668" w:leader="none"/>
          <w:tab w:val="right" w:pos="9639" w:leader="none"/>
        </w:tabs>
        <w:spacing w:before="0" w:after="0"/>
        <w:ind w:left="9781" w:hanging="0"/>
        <w:jc w:val="both"/>
        <w:rPr>
          <w:rFonts w:ascii="Times New Roman" w:hAnsi="Times New Roman" w:cs="Times New Roman"/>
          <w:sz w:val="28"/>
          <w:szCs w:val="28"/>
          <w:lang w:eastAsia="ar-SA"/>
        </w:rPr>
      </w:pPr>
      <w:r>
        <w:rPr>
          <w:rFonts w:cs="Times New Roman" w:ascii="Times New Roman" w:hAnsi="Times New Roman"/>
          <w:sz w:val="28"/>
          <w:szCs w:val="28"/>
          <w:lang w:eastAsia="ar-SA"/>
        </w:rPr>
        <w:t xml:space="preserve">к постановлению Администрации городского округа Фрязино </w:t>
      </w:r>
    </w:p>
    <w:p>
      <w:pPr>
        <w:pStyle w:val="Normal"/>
        <w:widowControl w:val="false"/>
        <w:tabs>
          <w:tab w:val="clear" w:pos="708"/>
          <w:tab w:val="left" w:pos="1134" w:leader="none"/>
          <w:tab w:val="left" w:pos="3544" w:leader="none"/>
          <w:tab w:val="left" w:pos="4668" w:leader="none"/>
          <w:tab w:val="right" w:pos="9639" w:leader="none"/>
        </w:tabs>
        <w:spacing w:before="0" w:after="0"/>
        <w:ind w:left="9781" w:hanging="0"/>
        <w:jc w:val="both"/>
        <w:rPr>
          <w:rFonts w:ascii="Times New Roman" w:hAnsi="Times New Roman" w:cs="Times New Roman"/>
          <w:sz w:val="28"/>
          <w:szCs w:val="28"/>
          <w:lang w:eastAsia="ar-SA"/>
        </w:rPr>
      </w:pPr>
      <w:r>
        <w:rPr>
          <w:rFonts w:cs="Times New Roman" w:ascii="Times New Roman" w:hAnsi="Times New Roman"/>
          <w:sz w:val="28"/>
          <w:szCs w:val="28"/>
          <w:lang w:eastAsia="ar-SA"/>
        </w:rPr>
        <w:t xml:space="preserve">от </w:t>
      </w:r>
      <w:r>
        <w:rPr>
          <w:rFonts w:cs="Times New Roman" w:ascii="Times New Roman" w:hAnsi="Times New Roman"/>
          <w:sz w:val="28"/>
          <w:szCs w:val="28"/>
          <w:lang w:eastAsia="ar-SA"/>
        </w:rPr>
        <w:t>17.09.2026</w:t>
      </w:r>
      <w:r>
        <w:rPr>
          <w:rFonts w:cs="Times New Roman" w:ascii="Times New Roman" w:hAnsi="Times New Roman"/>
          <w:sz w:val="28"/>
          <w:szCs w:val="28"/>
          <w:lang w:eastAsia="ar-SA"/>
        </w:rPr>
        <w:t xml:space="preserve"> № </w:t>
      </w:r>
      <w:r>
        <w:rPr>
          <w:rFonts w:cs="Times New Roman" w:ascii="Times New Roman" w:hAnsi="Times New Roman"/>
          <w:sz w:val="28"/>
          <w:szCs w:val="28"/>
          <w:lang w:eastAsia="ar-SA"/>
        </w:rPr>
        <w:t>776</w:t>
      </w:r>
    </w:p>
    <w:p>
      <w:pPr>
        <w:pStyle w:val="Normal"/>
        <w:widowControl w:val="false"/>
        <w:tabs>
          <w:tab w:val="clear" w:pos="708"/>
          <w:tab w:val="left" w:pos="1134" w:leader="none"/>
          <w:tab w:val="left" w:pos="3544" w:leader="none"/>
          <w:tab w:val="left" w:pos="4668" w:leader="none"/>
          <w:tab w:val="right" w:pos="9639" w:leader="none"/>
        </w:tabs>
        <w:spacing w:before="0" w:after="0"/>
        <w:jc w:val="both"/>
        <w:rPr>
          <w:rFonts w:ascii="Times New Roman" w:hAnsi="Times New Roman" w:cs="Times New Roman"/>
        </w:rPr>
      </w:pPr>
      <w:r>
        <w:fldChar w:fldCharType="begin"/>
      </w:r>
      <w:r>
        <w:rPr>
          <w:rFonts w:ascii="Times New Roman" w:hAnsi="Times New Roman"/>
        </w:rPr>
        <w:instrText xml:space="preserve">LINK Excel.Sheet.12 "D:\\Мои документы\\ПРОГНОЗ\\2025-2027\\Фрязино прогноз\\Постановление\\Выходные таблицы по муниципальному прогнозу 2024.xlsx" "Ввод данных!R2C2:R31C13" \a \f 4 \h  \* MERGEFORMAT</w:instrText>
      </w:r>
      <w:r>
        <w:rPr>
          <w:rFonts w:ascii="Times New Roman" w:hAnsi="Times New Roman"/>
        </w:rPr>
      </w:r>
      <w:r>
        <w:rPr>
          <w:rFonts w:ascii="Times New Roman" w:hAnsi="Times New Roman"/>
        </w:rPr>
        <w:fldChar w:fldCharType="separate"/>
      </w:r>
      <w:r/>
      <w:r>
        <w:rPr>
          <w:rFonts w:ascii="Times New Roman" w:hAnsi="Times New Roman"/>
        </w:rPr>
      </w:r>
    </w:p>
    <w:tbl>
      <w:tblPr>
        <w:tblW w:w="15008" w:type="dxa"/>
        <w:jc w:val="left"/>
        <w:tblInd w:w="160" w:type="dxa"/>
        <w:tblLayout w:type="fixed"/>
        <w:tblCellMar>
          <w:top w:w="0" w:type="dxa"/>
          <w:left w:w="108" w:type="dxa"/>
          <w:bottom w:w="0" w:type="dxa"/>
          <w:right w:w="108" w:type="dxa"/>
        </w:tblCellMar>
        <w:tblLook w:firstRow="1" w:noVBand="1" w:lastRow="0" w:firstColumn="1" w:lastColumn="0" w:noHBand="1" w:val="06a0"/>
      </w:tblPr>
      <w:tblGrid>
        <w:gridCol w:w="15008"/>
      </w:tblGrid>
      <w:tr>
        <w:trPr>
          <w:trHeight w:val="465" w:hRule="atLeast"/>
        </w:trPr>
        <w:tc>
          <w:tcPr>
            <w:tcW w:w="15008" w:type="dxa"/>
            <w:tcBorders/>
            <w:shd w:color="auto" w:fill="auto" w:val="clear"/>
          </w:tcPr>
          <w:p>
            <w:pPr>
              <w:pStyle w:val="Normal"/>
              <w:widowControl w:val="false"/>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r>
          </w:p>
          <w:p>
            <w:pPr>
              <w:pStyle w:val="Normal"/>
              <w:widowControl w:val="false"/>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Прогноз социально-экономического развития</w:t>
            </w:r>
          </w:p>
          <w:p>
            <w:pPr>
              <w:pStyle w:val="Normal"/>
              <w:widowControl w:val="false"/>
              <w:spacing w:lineRule="auto" w:line="240" w:before="0" w:after="0"/>
              <w:jc w:val="center"/>
              <w:rPr>
                <w:rFonts w:ascii="Times New Roman" w:hAnsi="Times New Roman" w:eastAsia="Times New Roman" w:cs="Times New Roman"/>
                <w:sz w:val="28"/>
                <w:szCs w:val="28"/>
                <w:lang w:eastAsia="ru-RU"/>
              </w:rPr>
            </w:pPr>
            <w:r>
              <w:rPr>
                <w:rFonts w:eastAsia="Times New Roman" w:cs="Times New Roman" w:ascii="Times New Roman" w:hAnsi="Times New Roman"/>
                <w:sz w:val="28"/>
                <w:szCs w:val="28"/>
                <w:lang w:eastAsia="ru-RU"/>
              </w:rPr>
              <w:t>городского округа Фрязино Московской области на 2027-2029 годы</w:t>
            </w:r>
          </w:p>
        </w:tc>
      </w:tr>
    </w:tbl>
    <w:p>
      <w:pPr>
        <w:pStyle w:val="Normal"/>
        <w:widowControl w:val="false"/>
        <w:tabs>
          <w:tab w:val="clear" w:pos="708"/>
          <w:tab w:val="left" w:pos="1134" w:leader="none"/>
          <w:tab w:val="left" w:pos="3544" w:leader="none"/>
          <w:tab w:val="left" w:pos="4668" w:leader="none"/>
          <w:tab w:val="right" w:pos="9639" w:leader="none"/>
        </w:tabs>
        <w:spacing w:before="0" w:after="0"/>
        <w:jc w:val="both"/>
        <w:rPr>
          <w:rFonts w:ascii="Times New Roman" w:hAnsi="Times New Roman" w:cs="Times New Roman"/>
          <w:sz w:val="28"/>
          <w:szCs w:val="28"/>
          <w:lang w:eastAsia="ar-SA"/>
        </w:rPr>
      </w:pPr>
      <w:r/>
      <w:r>
        <w:rPr>
          <w:rFonts w:ascii="Times New Roman" w:hAnsi="Times New Roman"/>
        </w:rPr>
        <w:fldChar w:fldCharType="end"/>
      </w:r>
      <w:r>
        <w:rPr>
          <w:rFonts w:ascii="Times New Roman" w:hAnsi="Times New Roman"/>
        </w:rPr>
      </w:r>
    </w:p>
    <w:tbl>
      <w:tblPr>
        <w:tblW w:w="1516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822"/>
        <w:gridCol w:w="1277"/>
        <w:gridCol w:w="993"/>
        <w:gridCol w:w="1134"/>
        <w:gridCol w:w="1133"/>
        <w:gridCol w:w="1134"/>
        <w:gridCol w:w="1134"/>
        <w:gridCol w:w="1134"/>
        <w:gridCol w:w="1135"/>
        <w:gridCol w:w="1134"/>
        <w:gridCol w:w="1131"/>
      </w:tblGrid>
      <w:tr>
        <w:trPr>
          <w:tblHeader w:val="true"/>
          <w:trHeight w:val="330" w:hRule="atLeast"/>
        </w:trPr>
        <w:tc>
          <w:tcPr>
            <w:tcW w:w="3822"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Показатели</w:t>
            </w:r>
          </w:p>
        </w:tc>
        <w:tc>
          <w:tcPr>
            <w:tcW w:w="1277" w:type="dxa"/>
            <w:vMerge w:val="restart"/>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Единицы измерения</w:t>
            </w:r>
          </w:p>
        </w:tc>
        <w:tc>
          <w:tcPr>
            <w:tcW w:w="2127"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Отчет</w:t>
            </w:r>
          </w:p>
        </w:tc>
        <w:tc>
          <w:tcPr>
            <w:tcW w:w="1133" w:type="dxa"/>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Оценка</w:t>
            </w:r>
          </w:p>
        </w:tc>
        <w:tc>
          <w:tcPr>
            <w:tcW w:w="2268"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2027</w:t>
            </w:r>
          </w:p>
        </w:tc>
        <w:tc>
          <w:tcPr>
            <w:tcW w:w="2269"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2028</w:t>
            </w:r>
          </w:p>
        </w:tc>
        <w:tc>
          <w:tcPr>
            <w:tcW w:w="2265" w:type="dxa"/>
            <w:gridSpan w:val="2"/>
            <w:tcBorders>
              <w:top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2029</w:t>
            </w:r>
          </w:p>
        </w:tc>
      </w:tr>
      <w:tr>
        <w:trPr>
          <w:tblHeader w:val="true"/>
          <w:trHeight w:val="540" w:hRule="atLeast"/>
        </w:trPr>
        <w:tc>
          <w:tcPr>
            <w:tcW w:w="382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r>
          </w:p>
        </w:tc>
        <w:tc>
          <w:tcPr>
            <w:tcW w:w="12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2024</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2025</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2026</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Прогноз вариант 1 (консервативный)</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Прогноз вариант 2 (базовый)</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Прогноз вариант 1 (консервативный)</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Прогноз вариант 2 (базовый)</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Прогноз вариант 1 (консервативный)</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Прогноз вариант 2 (базовый)</w:t>
            </w:r>
          </w:p>
        </w:tc>
      </w:tr>
      <w:tr>
        <w:trPr>
          <w:trHeight w:val="330"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1. Промышленное производство</w:t>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r>
      <w:tr>
        <w:trPr>
          <w:trHeight w:val="1410"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0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Объем отгруженных товаров собственного производства, выполненных работ и услуг собственными силами по промышленным видам деятельности по крупным и средним организациям (без организаций с численностью работающих менее 15 человек)</w:t>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млн. руб. в ценах соответствующих лет</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left="-107" w:hanging="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84 868,3</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102 621,1</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107 341,6</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111 849,9</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112 517,1</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116 883,1</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118 255,5</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122 376,7</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124 523,0</w:t>
            </w:r>
          </w:p>
        </w:tc>
      </w:tr>
      <w:tr>
        <w:trPr>
          <w:trHeight w:val="330"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both"/>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2. Малое и среднее предпринимательство</w:t>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r>
      <w:tr>
        <w:trPr>
          <w:trHeight w:val="540"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0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Число малых и средних предприятий, включая микропредприятия (на конец года)</w:t>
            </w:r>
          </w:p>
          <w:p>
            <w:pPr>
              <w:pStyle w:val="Normal"/>
              <w:widowControl w:val="false"/>
              <w:spacing w:lineRule="auto" w:line="240" w:before="0" w:after="0"/>
              <w:ind w:firstLine="40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единица</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844</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771</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702</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703</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704</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704</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707</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706</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711</w:t>
            </w:r>
          </w:p>
        </w:tc>
      </w:tr>
      <w:tr>
        <w:trPr>
          <w:trHeight w:val="330"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both"/>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3. Инвестиции</w:t>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r>
      <w:tr>
        <w:trPr>
          <w:trHeight w:val="1200"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0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Инвестиции в основной капитал за счет всех источников финансирования (без субъектов малого предпринимательства и объемов инвестиций, не наблюдаемых прямыми статистическими методами) – всего</w:t>
            </w:r>
          </w:p>
          <w:p>
            <w:pPr>
              <w:pStyle w:val="Normal"/>
              <w:widowControl w:val="false"/>
              <w:spacing w:lineRule="auto" w:line="240" w:before="0" w:after="0"/>
              <w:ind w:firstLine="40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млн. рублей</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left="-107" w:hanging="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23 514,29</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19 302,26</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20 310,22</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17 529,75</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17 870,96</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15 030,60</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15 544,50</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14 670,50</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15 243,00</w:t>
            </w:r>
          </w:p>
        </w:tc>
      </w:tr>
      <w:tr>
        <w:trPr>
          <w:trHeight w:val="330"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both"/>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4. Строительство</w:t>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r>
      <w:tr>
        <w:trPr>
          <w:trHeight w:val="765"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0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Объем жилищного строительства</w:t>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тыс. кв. м общей площади</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1,17</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6,19</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0,62</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6,78</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7,07</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0,48</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0,64</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0,42</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0,73</w:t>
            </w:r>
          </w:p>
        </w:tc>
      </w:tr>
      <w:tr>
        <w:trPr>
          <w:trHeight w:val="330"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both"/>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5. Труд и заработная плата</w:t>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r>
      <w:tr>
        <w:trPr>
          <w:trHeight w:val="375"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0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Количество созданных рабочих мест</w:t>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единица</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821</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782</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656</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548</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607</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480</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514</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406</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438</w:t>
            </w:r>
          </w:p>
        </w:tc>
      </w:tr>
      <w:tr>
        <w:trPr>
          <w:trHeight w:val="540"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0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Численность официально зарегистрированных безработных, на конец года</w:t>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человек</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26</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28</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27</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27</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26</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26</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24</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25</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23</w:t>
            </w:r>
          </w:p>
        </w:tc>
      </w:tr>
      <w:tr>
        <w:trPr>
          <w:trHeight w:val="375"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0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Фонд начисленной заработной платы</w:t>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млн. рублей</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28 706,0</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37 082,5</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38 819,0</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39 357,1</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39741,1</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40 939,1</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41 492,1</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42 538,0</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43 187,7</w:t>
            </w:r>
          </w:p>
        </w:tc>
      </w:tr>
      <w:tr>
        <w:trPr>
          <w:trHeight w:val="765"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00"/>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Среднемесячная номинальная начисленная заработная плата работников (по полному кругу организаций)</w:t>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рубль</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ind w:left="-109" w:hanging="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112 588,4</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137 104,9</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140 532,5</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141 454,3</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141 837,3</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145 726,0</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146 486,8</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150 281,2</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151 173,0</w:t>
            </w:r>
          </w:p>
        </w:tc>
      </w:tr>
      <w:tr>
        <w:trPr>
          <w:trHeight w:val="330"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jc w:val="both"/>
              <w:rPr>
                <w:rFonts w:ascii="Times New Roman" w:hAnsi="Times New Roman" w:eastAsia="Times New Roman" w:cs="Times New Roman"/>
                <w:b/>
                <w:bCs/>
                <w:sz w:val="20"/>
                <w:szCs w:val="20"/>
                <w:lang w:eastAsia="ru-RU"/>
              </w:rPr>
            </w:pPr>
            <w:r>
              <w:rPr>
                <w:rFonts w:eastAsia="Times New Roman" w:cs="Times New Roman" w:ascii="Times New Roman" w:hAnsi="Times New Roman"/>
                <w:b/>
                <w:bCs/>
                <w:sz w:val="20"/>
                <w:szCs w:val="20"/>
                <w:lang w:eastAsia="ru-RU"/>
              </w:rPr>
              <w:t>6. Торговля и услуги</w:t>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 </w:t>
            </w:r>
          </w:p>
        </w:tc>
      </w:tr>
      <w:tr>
        <w:trPr>
          <w:trHeight w:val="975" w:hRule="atLeast"/>
        </w:trPr>
        <w:tc>
          <w:tcPr>
            <w:tcW w:w="3822" w:type="dxa"/>
            <w:tcBorders>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before="0" w:after="0"/>
              <w:ind w:firstLine="454"/>
              <w:jc w:val="both"/>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Оборот розничной торговли по крупным и средним организациям (без организаций с численностью работающих менее 15 человек) в ценах соответствующих лет</w:t>
            </w:r>
          </w:p>
        </w:tc>
        <w:tc>
          <w:tcPr>
            <w:tcW w:w="1277"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center"/>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млн. рублей</w:t>
            </w:r>
          </w:p>
        </w:tc>
        <w:tc>
          <w:tcPr>
            <w:tcW w:w="99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9 920,0</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11 658,1</w:t>
            </w:r>
          </w:p>
        </w:tc>
        <w:tc>
          <w:tcPr>
            <w:tcW w:w="1133"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12 544,2</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13 281,9</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13 398,7</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14 158,9</w:t>
            </w:r>
          </w:p>
        </w:tc>
        <w:tc>
          <w:tcPr>
            <w:tcW w:w="1135"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14 408,5</w:t>
            </w:r>
          </w:p>
        </w:tc>
        <w:tc>
          <w:tcPr>
            <w:tcW w:w="1134"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15 211,2</w:t>
            </w:r>
          </w:p>
        </w:tc>
        <w:tc>
          <w:tcPr>
            <w:tcW w:w="1131" w:type="dxa"/>
            <w:tcBorders>
              <w:bottom w:val="single" w:sz="4" w:space="0" w:color="000000"/>
              <w:right w:val="single" w:sz="4" w:space="0" w:color="000000"/>
            </w:tcBorders>
            <w:shd w:color="auto" w:fill="auto" w:val="clear"/>
            <w:vAlign w:val="center"/>
          </w:tcPr>
          <w:p>
            <w:pPr>
              <w:pStyle w:val="Normal"/>
              <w:widowControl w:val="false"/>
              <w:spacing w:lineRule="auto" w:line="240" w:before="0" w:after="0"/>
              <w:jc w:val="right"/>
              <w:rPr>
                <w:rFonts w:ascii="Times New Roman" w:hAnsi="Times New Roman" w:eastAsia="Times New Roman" w:cs="Times New Roman"/>
                <w:sz w:val="20"/>
                <w:szCs w:val="20"/>
                <w:lang w:eastAsia="ru-RU"/>
              </w:rPr>
            </w:pPr>
            <w:r>
              <w:rPr>
                <w:rFonts w:eastAsia="Times New Roman" w:cs="Times New Roman" w:ascii="Times New Roman" w:hAnsi="Times New Roman"/>
                <w:sz w:val="20"/>
                <w:szCs w:val="20"/>
                <w:lang w:eastAsia="ru-RU"/>
              </w:rPr>
              <w:t>15 614,3</w:t>
            </w:r>
          </w:p>
        </w:tc>
      </w:tr>
    </w:tbl>
    <w:p>
      <w:pPr>
        <w:pStyle w:val="Normal"/>
        <w:widowControl w:val="false"/>
        <w:tabs>
          <w:tab w:val="clear" w:pos="708"/>
          <w:tab w:val="left" w:pos="1134" w:leader="none"/>
          <w:tab w:val="left" w:pos="3544" w:leader="none"/>
          <w:tab w:val="left" w:pos="4668" w:leader="none"/>
          <w:tab w:val="right" w:pos="9639" w:leader="none"/>
        </w:tabs>
        <w:spacing w:before="0" w:after="0"/>
        <w:jc w:val="both"/>
        <w:rPr>
          <w:rFonts w:ascii="Times New Roman" w:hAnsi="Times New Roman" w:cs="Times New Roman"/>
          <w:sz w:val="28"/>
          <w:szCs w:val="28"/>
          <w:lang w:eastAsia="ar-SA"/>
        </w:rPr>
      </w:pPr>
      <w:r>
        <w:rPr>
          <w:rFonts w:cs="Times New Roman" w:ascii="Times New Roman" w:hAnsi="Times New Roman"/>
          <w:sz w:val="28"/>
          <w:szCs w:val="28"/>
          <w:lang w:eastAsia="ar-SA"/>
        </w:rPr>
      </w:r>
    </w:p>
    <w:p>
      <w:pPr>
        <w:pStyle w:val="Normal"/>
        <w:widowControl w:val="false"/>
        <w:tabs>
          <w:tab w:val="clear" w:pos="708"/>
          <w:tab w:val="left" w:pos="1134" w:leader="none"/>
          <w:tab w:val="left" w:pos="3544" w:leader="none"/>
          <w:tab w:val="left" w:pos="4668" w:leader="none"/>
          <w:tab w:val="right" w:pos="9639" w:leader="none"/>
        </w:tabs>
        <w:spacing w:before="0" w:after="0"/>
        <w:jc w:val="both"/>
        <w:rPr>
          <w:rFonts w:ascii="Times New Roman" w:hAnsi="Times New Roman" w:cs="Times New Roman"/>
          <w:sz w:val="28"/>
          <w:szCs w:val="28"/>
          <w:lang w:eastAsia="ar-SA"/>
        </w:rPr>
      </w:pPr>
      <w:r>
        <w:rPr>
          <w:rFonts w:cs="Times New Roman" w:ascii="Times New Roman" w:hAnsi="Times New Roman"/>
          <w:sz w:val="28"/>
          <w:szCs w:val="28"/>
          <w:lang w:eastAsia="ar-SA"/>
        </w:rPr>
      </w:r>
    </w:p>
    <w:p>
      <w:pPr>
        <w:sectPr>
          <w:headerReference w:type="default" r:id="rId4"/>
          <w:headerReference w:type="first" r:id="rId5"/>
          <w:type w:val="nextPage"/>
          <w:pgSz w:orient="landscape" w:w="16838" w:h="11906"/>
          <w:pgMar w:left="1134" w:right="1134" w:gutter="0" w:header="708" w:top="1135" w:footer="0" w:bottom="850"/>
          <w:pgNumType w:fmt="decimal"/>
          <w:formProt w:val="false"/>
          <w:textDirection w:val="lrTb"/>
          <w:docGrid w:type="default" w:linePitch="360" w:charSpace="4096"/>
        </w:sectPr>
        <w:pStyle w:val="Normal"/>
        <w:spacing w:before="0" w:after="0"/>
        <w:rPr>
          <w:rFonts w:ascii="Times New Roman" w:hAnsi="Times New Roman" w:cs="Times New Roman"/>
          <w:sz w:val="28"/>
          <w:szCs w:val="28"/>
          <w:lang w:eastAsia="ar-SA"/>
        </w:rPr>
      </w:pPr>
      <w:r>
        <w:rPr>
          <w:rFonts w:cs="Times New Roman" w:ascii="Times New Roman" w:hAnsi="Times New Roman"/>
          <w:sz w:val="28"/>
          <w:szCs w:val="28"/>
          <w:lang w:eastAsia="ar-SA"/>
        </w:rPr>
      </w:r>
    </w:p>
    <w:p>
      <w:pPr>
        <w:pStyle w:val="Normal"/>
        <w:ind w:firstLine="709"/>
        <w:jc w:val="center"/>
        <w:rPr>
          <w:rFonts w:ascii="Times New Roman" w:hAnsi="Times New Roman" w:cs="Times New Roman"/>
          <w:b/>
          <w:sz w:val="28"/>
          <w:szCs w:val="28"/>
        </w:rPr>
      </w:pPr>
      <w:r>
        <w:rPr>
          <w:rFonts w:cs="Times New Roman" w:ascii="Times New Roman" w:hAnsi="Times New Roman"/>
          <w:b/>
          <w:sz w:val="28"/>
          <w:szCs w:val="28"/>
        </w:rPr>
        <w:t>Пояснительная записка</w:t>
        <w:br/>
        <w:t xml:space="preserve"> к прогнозу социально-экономического развития </w:t>
        <w:br/>
        <w:t>городского округа Фрязино Московской области на 2027-2029годы.</w:t>
      </w:r>
    </w:p>
    <w:p>
      <w:pPr>
        <w:pStyle w:val="Normal"/>
        <w:ind w:firstLine="709"/>
        <w:jc w:val="center"/>
        <w:rPr>
          <w:rFonts w:ascii="Times New Roman" w:hAnsi="Times New Roman" w:cs="Times New Roman"/>
          <w:sz w:val="28"/>
          <w:szCs w:val="28"/>
        </w:rPr>
      </w:pPr>
      <w:r>
        <w:rPr>
          <w:rFonts w:cs="Times New Roman" w:ascii="Times New Roman" w:hAnsi="Times New Roman"/>
          <w:sz w:val="28"/>
          <w:szCs w:val="28"/>
        </w:rPr>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ab/>
        <w:t>Прогноз социально-экономического развития городского округа Фрязино Московской области на 2027-2029 годы разработан в соответствии с Бюджетным кодексом Российской Федерации, Федеральным законом от 28.06.2014 № 172 «О стратегическом планировании в Российской Федерации», Федеральным законом от 06.10.2003 № 131-ФЗ «Об общих принципах организации местного самоуправления в Российской Федерации», решением Совета депутатов городского округа Фрязино от 15.02.2021 № 45/12 «О принятии Положения о бюджетном процессе в городском округе Фрязино Московской области».</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Прогноз разрабатывается ежегодно на очередной финансовый год и плановый период на основе анализа внешних и внутренних условий социально-экономического развития.</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 xml:space="preserve">Разработка прогноза осуществлялась на базе статистических данных за 2024-2025 годы, итогов социально-экономического развития городского округа Фрязино Московской области за первое полугодие 2026 года, а также на основе сценарных условий функционирования экономики Российской Федерации, основных параметров прогноза социально-эконмического развития Российской Федерации и прогнозируемого изменения цен (тарифов) на товары, услуги хозяйствующих субъектов, осуществляющих регулируемые виды деятельности в инфраструктурном секторе, на 2027 год и на плановый период 2028 и 2029 годов. </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t>Прогноз разработан по двум вариантам: первый вариант прогноза соответствует консервативному варианту, второй вариант – базовому (основному) варианту. Базовый вариант прогноза принят за основу для разработки проекта бюджета городского округа Фрязино Московской области на 2027 год и на плановый период 2028 и 2029 годы.</w:t>
      </w:r>
    </w:p>
    <w:p>
      <w:pPr>
        <w:pStyle w:val="Normal"/>
        <w:ind w:firstLine="709"/>
        <w:jc w:val="both"/>
        <w:rPr>
          <w:rFonts w:ascii="Times New Roman" w:hAnsi="Times New Roman" w:cs="Times New Roman"/>
          <w:sz w:val="28"/>
          <w:szCs w:val="28"/>
        </w:rPr>
      </w:pPr>
      <w:r>
        <w:rPr>
          <w:rFonts w:cs="Times New Roman" w:ascii="Times New Roman" w:hAnsi="Times New Roman"/>
          <w:sz w:val="28"/>
          <w:szCs w:val="28"/>
        </w:rPr>
      </w:r>
    </w:p>
    <w:p>
      <w:pPr>
        <w:pStyle w:val="Style18"/>
        <w:snapToGrid w:val="false"/>
        <w:spacing w:before="113" w:after="0"/>
        <w:ind w:firstLine="708"/>
        <w:jc w:val="center"/>
        <w:rPr>
          <w:color w:val="000000"/>
          <w:sz w:val="28"/>
          <w:szCs w:val="28"/>
        </w:rPr>
      </w:pPr>
      <w:r>
        <w:rPr>
          <w:color w:val="000000"/>
          <w:sz w:val="28"/>
          <w:szCs w:val="28"/>
        </w:rPr>
        <w:t>Промышленное производство</w:t>
      </w:r>
    </w:p>
    <w:p>
      <w:pPr>
        <w:pStyle w:val="Style18"/>
        <w:snapToGrid w:val="false"/>
        <w:spacing w:before="113" w:after="0"/>
        <w:ind w:firstLine="708"/>
        <w:rPr>
          <w:color w:val="000000"/>
          <w:sz w:val="28"/>
          <w:szCs w:val="28"/>
        </w:rPr>
      </w:pPr>
      <w:r>
        <w:rPr>
          <w:color w:val="000000"/>
          <w:sz w:val="28"/>
          <w:szCs w:val="28"/>
        </w:rPr>
        <w:t>Объем отгруженных товаров собственного производства, выполненных работ и услуг собственными силами по промышленным видам деятельности по крупным и средним предприятиям городского округа Фрязино Московской области в 2025 году составил 102 621,1 млн. руб. с темпом роста 120,9 % к уровню 2024 года.</w:t>
      </w:r>
    </w:p>
    <w:p>
      <w:pPr>
        <w:pStyle w:val="Style18"/>
        <w:snapToGrid w:val="false"/>
        <w:spacing w:before="113" w:after="0"/>
        <w:ind w:firstLine="708"/>
        <w:rPr>
          <w:color w:val="000000"/>
          <w:sz w:val="28"/>
          <w:szCs w:val="28"/>
        </w:rPr>
      </w:pPr>
      <w:r>
        <w:rPr>
          <w:color w:val="000000"/>
          <w:sz w:val="28"/>
          <w:szCs w:val="28"/>
        </w:rPr>
        <w:t>В текущем периоде негативные явления в экономике страны отражаются на деятельности предприятий городского округа, у отдельных предприятий наблюдается снижение объема отгруженных товаров. В целом по городскому округу за счет крупного градообразующего предприятия АО "НПП "Исток" им. Шокина" в 2026 году ожидается небольшой прирост объема отгруженных товаров - 4,6% к уровню 2025 года и достигнет 107 341,6 млн. руб. Данный прирост обеспечен инфляционным ростом цен, физический же индекс промышленного производства снижается. Основу промышленного производства городского округа Фрязино Московской области составляет продукция АО «НПП «Исток им. Шокина», АО «Газпромнефть МЗСМ», ООО «Май», ООО «Веза», ООО «ВПГ Лазеруан».</w:t>
      </w:r>
    </w:p>
    <w:p>
      <w:pPr>
        <w:pStyle w:val="Style18"/>
        <w:snapToGrid w:val="false"/>
        <w:spacing w:before="113" w:after="0"/>
        <w:ind w:firstLine="708"/>
        <w:rPr>
          <w:color w:val="000000"/>
          <w:sz w:val="28"/>
          <w:szCs w:val="28"/>
        </w:rPr>
      </w:pPr>
      <w:r>
        <w:rPr>
          <w:color w:val="000000"/>
          <w:sz w:val="28"/>
          <w:szCs w:val="28"/>
        </w:rPr>
        <w:t xml:space="preserve">В прогнозном периоде ожидается умеренный рост объема отгруженных товаров. Драйвером экономики города является градообразующее предприятие АО "НПП "Исток" им. Шокина", которое обеспечено оборонным заказом, провело модернизацию своих производственных мощностей и увеличивает объем производства. В целом по городскому округу в прогнозном периоде темп роста данного показателя составит 104,2-105,3% ежегодно. К 2029 году объем отгруженных товаров по промышленным видам деятельности достигнет 124 523,0 млн. руб. </w:t>
      </w:r>
    </w:p>
    <w:p>
      <w:pPr>
        <w:pStyle w:val="Style18"/>
        <w:snapToGrid w:val="false"/>
        <w:spacing w:before="113" w:after="0"/>
        <w:ind w:firstLine="708"/>
        <w:rPr>
          <w:color w:val="000000"/>
          <w:sz w:val="28"/>
          <w:szCs w:val="28"/>
        </w:rPr>
      </w:pPr>
      <w:r>
        <w:rPr>
          <w:color w:val="000000"/>
          <w:sz w:val="28"/>
          <w:szCs w:val="28"/>
        </w:rPr>
      </w:r>
    </w:p>
    <w:p>
      <w:pPr>
        <w:pStyle w:val="Style18"/>
        <w:snapToGrid w:val="false"/>
        <w:spacing w:before="113" w:after="0"/>
        <w:ind w:firstLine="708"/>
        <w:jc w:val="center"/>
        <w:rPr>
          <w:color w:val="000000"/>
          <w:sz w:val="28"/>
          <w:szCs w:val="28"/>
        </w:rPr>
      </w:pPr>
      <w:r>
        <w:rPr>
          <w:color w:val="000000"/>
          <w:sz w:val="28"/>
          <w:szCs w:val="28"/>
        </w:rPr>
        <w:t>Малое и среднее предпринимательство</w:t>
      </w:r>
    </w:p>
    <w:p>
      <w:pPr>
        <w:pStyle w:val="Style18"/>
        <w:snapToGrid w:val="false"/>
        <w:spacing w:before="113" w:after="0"/>
        <w:ind w:firstLine="708"/>
        <w:rPr>
          <w:color w:val="000000"/>
          <w:sz w:val="28"/>
          <w:szCs w:val="28"/>
        </w:rPr>
      </w:pPr>
      <w:r>
        <w:rPr>
          <w:color w:val="000000"/>
          <w:sz w:val="28"/>
          <w:szCs w:val="28"/>
        </w:rPr>
        <w:t>Число малых и средних предприятий, включая микропредприятия, в 2025 году составило 771 единиц (в 2024году – 844 единиц). В 2025 году число МСП сократилось за счет снижения количества микропредприятий. В условиях нестабильной экономики микропредприятия наиболее чувствительны к негативным изменениям (нехватка рабочей силы, высокие затраты на производство), что стало причиной снижения количества микропредприятий в отчетном периоде.</w:t>
      </w:r>
    </w:p>
    <w:p>
      <w:pPr>
        <w:pStyle w:val="Style18"/>
        <w:snapToGrid w:val="false"/>
        <w:spacing w:before="113" w:after="0"/>
        <w:ind w:firstLine="708"/>
        <w:rPr>
          <w:color w:val="000000"/>
          <w:sz w:val="28"/>
          <w:szCs w:val="28"/>
        </w:rPr>
      </w:pPr>
      <w:r>
        <w:rPr>
          <w:color w:val="000000"/>
          <w:sz w:val="28"/>
          <w:szCs w:val="28"/>
        </w:rPr>
        <w:t>По предварительной оценке к концу 2026 года количество малых и микропредприятий составит 702 единиц. Количество МСП продолжает сокращаться на фоне негативных явлений в экономике. Количество средних предприятий снизилось за счет перехода предприятий в другую категорию.</w:t>
      </w:r>
    </w:p>
    <w:p>
      <w:pPr>
        <w:pStyle w:val="Style18"/>
        <w:snapToGrid w:val="false"/>
        <w:spacing w:before="113" w:after="0"/>
        <w:ind w:firstLine="708"/>
        <w:rPr>
          <w:color w:val="000000"/>
          <w:sz w:val="28"/>
          <w:szCs w:val="28"/>
        </w:rPr>
      </w:pPr>
      <w:r>
        <w:rPr>
          <w:color w:val="000000"/>
          <w:sz w:val="28"/>
          <w:szCs w:val="28"/>
        </w:rPr>
        <w:t>К концу 2029 года количество МСП составит 711 единиц. В прогнозном периоде ожидается незначительный рост малых и микропредприятий за счет развития сферы услуг.</w:t>
      </w:r>
    </w:p>
    <w:p>
      <w:pPr>
        <w:pStyle w:val="Style18"/>
        <w:snapToGrid w:val="false"/>
        <w:spacing w:before="113" w:after="0"/>
        <w:ind w:firstLine="708"/>
        <w:rPr>
          <w:color w:val="000000"/>
          <w:sz w:val="28"/>
          <w:szCs w:val="28"/>
        </w:rPr>
      </w:pPr>
      <w:r>
        <w:rPr>
          <w:color w:val="000000"/>
          <w:sz w:val="28"/>
          <w:szCs w:val="28"/>
        </w:rPr>
      </w:r>
    </w:p>
    <w:p>
      <w:pPr>
        <w:pStyle w:val="Style18"/>
        <w:snapToGrid w:val="false"/>
        <w:spacing w:before="113" w:after="0"/>
        <w:ind w:firstLine="708"/>
        <w:jc w:val="center"/>
        <w:rPr>
          <w:color w:val="000000"/>
          <w:sz w:val="28"/>
          <w:szCs w:val="28"/>
        </w:rPr>
      </w:pPr>
      <w:r>
        <w:rPr>
          <w:color w:val="000000"/>
          <w:sz w:val="28"/>
          <w:szCs w:val="28"/>
        </w:rPr>
        <w:t>Инвестиции</w:t>
      </w:r>
    </w:p>
    <w:p>
      <w:pPr>
        <w:pStyle w:val="Style18"/>
        <w:snapToGrid w:val="false"/>
        <w:spacing w:before="113" w:after="0"/>
        <w:ind w:firstLine="708"/>
        <w:rPr>
          <w:color w:val="000000"/>
          <w:sz w:val="28"/>
          <w:szCs w:val="28"/>
        </w:rPr>
      </w:pPr>
      <w:r>
        <w:rPr>
          <w:color w:val="000000"/>
          <w:sz w:val="28"/>
          <w:szCs w:val="28"/>
        </w:rPr>
        <w:t>Объем инвестиций в основной капитал за счет всех источников финансирования в 2025 году составил 19 302,26 млн. руб., по сравнению с 2024 годом объем инвестиций снизился на 17,9%. Основную долю инвестиций городского округа составляют инвестиции градообразующего предприятия АО "НПП "Исток им. Шокина", которое продолжает реализацию инвестиционного проекта "Модернизация существующих и создание новых производственных мощностей для разработки и производства СВЧ-приборов и устройств мирового уровня". В связи с тем, что максимальный объем инвестиций по данному проекту был освоен в 2024 году, в отчетном периоде произошло снижение объема инвестиций. Кроме этого в отчетном периоде завершена комплексная модернизация Центра протезирования и реабилитации ООО "Исток-Орто", включая реконструкцию помещений и полное техническое оснащение. Продолжается реализация инвестиционных проектов ООО "ВПГ Лазеруан" по строительству и реконструкции производственно-складских корпусов по иготовлению лазерного оборудования, ООО "МАЙ", ООО "Веза" - модернизация существующих производственных мощностей.</w:t>
      </w:r>
    </w:p>
    <w:p>
      <w:pPr>
        <w:pStyle w:val="Style18"/>
        <w:snapToGrid w:val="false"/>
        <w:spacing w:before="113" w:after="0"/>
        <w:ind w:firstLine="708"/>
        <w:rPr>
          <w:color w:val="000000"/>
          <w:sz w:val="28"/>
          <w:szCs w:val="28"/>
        </w:rPr>
      </w:pPr>
      <w:r>
        <w:rPr>
          <w:color w:val="000000"/>
          <w:sz w:val="28"/>
          <w:szCs w:val="28"/>
        </w:rPr>
        <w:t>В 2026 году ожидается сохранение объемов инвестиций на уровне предыдущего периода – 20 310,22 млн. руб. Продолжается реализация АО "НПП "Исток" им. Шокина" инвестиционного проекта по модернизации производственных площадей и оснащению построенных корпусов новым оборудованием. ООО "МАЙ", ООО "Веза", ООО "Лигас" продолжают модернизацию существующих производственных площадей. Планируется реализация инвестиционного проекта ООО "Исток Аудио Лабс" по реконструкции производственного корпуса для производства узлов протезов нижних и верхних конечностей.</w:t>
      </w:r>
    </w:p>
    <w:p>
      <w:pPr>
        <w:pStyle w:val="Style18"/>
        <w:snapToGrid w:val="false"/>
        <w:spacing w:before="113" w:after="0"/>
        <w:ind w:firstLine="708"/>
        <w:rPr>
          <w:color w:val="000000"/>
          <w:sz w:val="28"/>
          <w:szCs w:val="28"/>
        </w:rPr>
      </w:pPr>
      <w:r>
        <w:rPr>
          <w:color w:val="000000"/>
          <w:sz w:val="28"/>
          <w:szCs w:val="28"/>
        </w:rPr>
        <w:t>В прогнозном периоде не ожидается новых крупных инвестиционных проектов, а также снижаются объемы капитальных вложений по основному инвестиционному проекту, реализуемому АО "НПП "Исток" им. Шокина", в связи с этим объем инвестиций к 2029 году составит 15 243,0 млн. руб.  Продолжится реализация инвестиционных проектов АО "НПП "Исток" им. Шокина", ООО МНПП "Антракс", ООО "Пластика окон", ООО "Веза", ООО "ВПГ Лазеруан".</w:t>
      </w:r>
    </w:p>
    <w:p>
      <w:pPr>
        <w:pStyle w:val="Style18"/>
        <w:snapToGrid w:val="false"/>
        <w:spacing w:before="113" w:after="0"/>
        <w:ind w:firstLine="708"/>
        <w:rPr>
          <w:color w:val="000000"/>
          <w:sz w:val="28"/>
          <w:szCs w:val="28"/>
        </w:rPr>
      </w:pPr>
      <w:r>
        <w:rPr>
          <w:color w:val="000000"/>
          <w:sz w:val="28"/>
          <w:szCs w:val="28"/>
        </w:rPr>
      </w:r>
    </w:p>
    <w:p>
      <w:pPr>
        <w:pStyle w:val="Style18"/>
        <w:snapToGrid w:val="false"/>
        <w:spacing w:before="113" w:after="0"/>
        <w:ind w:firstLine="708"/>
        <w:jc w:val="center"/>
        <w:rPr>
          <w:color w:val="000000"/>
          <w:sz w:val="28"/>
          <w:szCs w:val="28"/>
        </w:rPr>
      </w:pPr>
      <w:r>
        <w:rPr>
          <w:color w:val="000000"/>
          <w:sz w:val="28"/>
          <w:szCs w:val="28"/>
        </w:rPr>
        <w:t>Строительство</w:t>
      </w:r>
    </w:p>
    <w:p>
      <w:pPr>
        <w:pStyle w:val="Style18"/>
        <w:snapToGrid w:val="false"/>
        <w:spacing w:before="113" w:after="0"/>
        <w:ind w:firstLine="708"/>
        <w:rPr>
          <w:color w:val="000000"/>
          <w:sz w:val="28"/>
          <w:szCs w:val="28"/>
        </w:rPr>
      </w:pPr>
      <w:r>
        <w:rPr>
          <w:color w:val="000000"/>
          <w:sz w:val="28"/>
          <w:szCs w:val="28"/>
        </w:rPr>
        <w:t xml:space="preserve">Территория городского округа Фрязино Московской области практически полностью застроена, строительство нового жилья может вестись только на застроенных территориях со сносом ветхого и аварийного фонда. </w:t>
      </w:r>
    </w:p>
    <w:p>
      <w:pPr>
        <w:pStyle w:val="Style18"/>
        <w:snapToGrid w:val="false"/>
        <w:spacing w:before="113" w:after="0"/>
        <w:ind w:firstLine="708"/>
        <w:rPr>
          <w:color w:val="000000"/>
          <w:sz w:val="28"/>
          <w:szCs w:val="28"/>
        </w:rPr>
      </w:pPr>
      <w:r>
        <w:rPr>
          <w:color w:val="000000"/>
          <w:sz w:val="28"/>
          <w:szCs w:val="28"/>
        </w:rPr>
        <w:t>В 2025 году в рамках реализации договора о развитии застроенных территорий в границах 9 квартала сдан в эксплуатацию многоквартирный дом общей площадью жилых помещений 5335 кв. м. на 106 квартир, застройщик ООО «Специализированный застройщик «Форт». Кроме этого введено 2 индивидуальных жилых дома общей площадью 855 кв.м.</w:t>
      </w:r>
    </w:p>
    <w:p>
      <w:pPr>
        <w:pStyle w:val="Style18"/>
        <w:snapToGrid w:val="false"/>
        <w:spacing w:before="113" w:after="0"/>
        <w:ind w:firstLine="708"/>
        <w:rPr>
          <w:color w:val="000000"/>
          <w:sz w:val="28"/>
          <w:szCs w:val="28"/>
        </w:rPr>
      </w:pPr>
      <w:r>
        <w:rPr>
          <w:color w:val="000000"/>
          <w:sz w:val="28"/>
          <w:szCs w:val="28"/>
        </w:rPr>
        <w:t xml:space="preserve">В 2026 году ожидается ввод домов ИЖС общей площадью 620 кв.м за счет постановки на кадастровый учет недвижимости в рамках проводимой дачной амнистии. </w:t>
      </w:r>
    </w:p>
    <w:p>
      <w:pPr>
        <w:pStyle w:val="Style18"/>
        <w:snapToGrid w:val="false"/>
        <w:spacing w:before="113" w:after="0"/>
        <w:ind w:firstLine="708"/>
        <w:rPr>
          <w:color w:val="000000"/>
          <w:sz w:val="28"/>
          <w:szCs w:val="28"/>
        </w:rPr>
      </w:pPr>
      <w:r>
        <w:rPr>
          <w:color w:val="000000"/>
          <w:sz w:val="28"/>
          <w:szCs w:val="28"/>
        </w:rPr>
        <w:t>В прогнозном периоде в рамках реализации договора о развитии застроенных территорий в границах 9 квартала в 2027 году ожидается ввод МКД общей площадью жилых помещений 6500 кв.м. на 116 квартир. Ввод домов ИЖС в 2028-2029 годах ожидается на уровне предыдущих периодов.</w:t>
      </w:r>
    </w:p>
    <w:p>
      <w:pPr>
        <w:pStyle w:val="Style18"/>
        <w:snapToGrid w:val="false"/>
        <w:spacing w:before="113" w:after="0"/>
        <w:ind w:firstLine="708"/>
        <w:rPr>
          <w:color w:val="000000"/>
          <w:sz w:val="28"/>
          <w:szCs w:val="28"/>
        </w:rPr>
      </w:pPr>
      <w:r>
        <w:rPr>
          <w:color w:val="000000"/>
          <w:sz w:val="28"/>
          <w:szCs w:val="28"/>
        </w:rPr>
      </w:r>
    </w:p>
    <w:p>
      <w:pPr>
        <w:pStyle w:val="Style18"/>
        <w:snapToGrid w:val="false"/>
        <w:spacing w:before="113" w:after="0"/>
        <w:ind w:firstLine="708"/>
        <w:jc w:val="center"/>
        <w:rPr>
          <w:color w:val="000000"/>
          <w:sz w:val="28"/>
          <w:szCs w:val="28"/>
        </w:rPr>
      </w:pPr>
      <w:r>
        <w:rPr>
          <w:color w:val="000000"/>
          <w:sz w:val="28"/>
          <w:szCs w:val="28"/>
        </w:rPr>
        <w:t>Труд и заработная плата</w:t>
      </w:r>
    </w:p>
    <w:p>
      <w:pPr>
        <w:pStyle w:val="Style18"/>
        <w:snapToGrid w:val="false"/>
        <w:spacing w:before="113" w:after="0"/>
        <w:ind w:firstLine="708"/>
        <w:rPr>
          <w:color w:val="000000"/>
          <w:sz w:val="28"/>
          <w:szCs w:val="28"/>
        </w:rPr>
      </w:pPr>
      <w:r>
        <w:rPr>
          <w:color w:val="000000"/>
          <w:sz w:val="28"/>
          <w:szCs w:val="28"/>
        </w:rPr>
        <w:t>В 2025 году на крупных и средних предприятиях городского округа Фрязино Московской области было создано 782 новых рабочих места</w:t>
      </w:r>
      <w:bookmarkStart w:id="0" w:name="_GoBack"/>
      <w:bookmarkEnd w:id="0"/>
      <w:r>
        <w:rPr>
          <w:color w:val="000000"/>
          <w:sz w:val="28"/>
          <w:szCs w:val="28"/>
        </w:rPr>
        <w:t>. К концу 2026 года будет создано 656 новых рабочих мест. В прогнозном периоде ожидается увеличение рабочих мест на 438 – 607 единиц ежегодно. Основная доля созданных рабочих мест приходится на АО «НПП «Исток им. Шокина».</w:t>
      </w:r>
    </w:p>
    <w:p>
      <w:pPr>
        <w:pStyle w:val="Style18"/>
        <w:snapToGrid w:val="false"/>
        <w:spacing w:before="113" w:after="0"/>
        <w:ind w:firstLine="708"/>
        <w:rPr>
          <w:color w:val="000000"/>
          <w:sz w:val="28"/>
          <w:szCs w:val="28"/>
        </w:rPr>
      </w:pPr>
      <w:r>
        <w:rPr>
          <w:color w:val="000000"/>
          <w:sz w:val="28"/>
          <w:szCs w:val="28"/>
        </w:rPr>
        <w:t>Численность официально зарегистрированных безработных на конец 2025 года составила 28 человек. На конец 2026 года на учете безработных по предварительной оценке будет стоять 27 человек. В прогнозном периоде будет наблюдаться снижение количества безработных граждан за счет проведения модернизации и расширения действующего производства крупных предприятий на территории городского округа Фрязино Московской области, развития малого бизнеса.</w:t>
      </w:r>
    </w:p>
    <w:p>
      <w:pPr>
        <w:pStyle w:val="Style18"/>
        <w:snapToGrid w:val="false"/>
        <w:spacing w:before="113" w:after="0"/>
        <w:ind w:firstLine="708"/>
        <w:rPr>
          <w:color w:val="000000"/>
          <w:sz w:val="28"/>
          <w:szCs w:val="28"/>
        </w:rPr>
      </w:pPr>
      <w:r>
        <w:rPr>
          <w:color w:val="000000"/>
          <w:sz w:val="28"/>
          <w:szCs w:val="28"/>
        </w:rPr>
        <w:t>Фонд заработной платы всех работников в 2025 году составил 37 082,5 млн. руб., что составило 129,2 % по отношению к 2024 году. В 2026 году рост фонда заработной платы составит 104,7% по отношению к предыдущему году и достигнет 338 819,0 млн. руб. В прогнозном периоде ожидается рост фонда заработной платы ежегодно на 2,4-4,1% и к 2029 году составит 43 187,7 млн. руб.</w:t>
      </w:r>
    </w:p>
    <w:p>
      <w:pPr>
        <w:pStyle w:val="Style18"/>
        <w:snapToGrid w:val="false"/>
        <w:spacing w:before="113" w:after="0"/>
        <w:ind w:firstLine="708"/>
        <w:rPr>
          <w:color w:val="000000"/>
          <w:sz w:val="28"/>
          <w:szCs w:val="28"/>
        </w:rPr>
      </w:pPr>
      <w:r>
        <w:rPr>
          <w:color w:val="000000"/>
          <w:sz w:val="28"/>
          <w:szCs w:val="28"/>
        </w:rPr>
        <w:t xml:space="preserve">Основным драйвером роста фонда заработной платы являются крупные предприятия городского округа Фрязино, которые увеличивают количество рабочих мест, принимают меры по поддержанию заработной платы на достойном уровне. По итогам 6 месяцев 2026 года средняя заработная плата на крупных и средних предприятиях городского округа достигла </w:t>
        <w:br/>
        <w:t>150</w:t>
      </w:r>
      <w:r>
        <w:rPr>
          <w:color w:val="000000"/>
          <w:sz w:val="28"/>
          <w:szCs w:val="28"/>
          <w:lang w:val="en-US"/>
        </w:rPr>
        <w:t> </w:t>
      </w:r>
      <w:r>
        <w:rPr>
          <w:color w:val="000000"/>
          <w:sz w:val="28"/>
          <w:szCs w:val="28"/>
        </w:rPr>
        <w:t>148,5 руб. (темп роста составил 108,5% к аналогичному периоду прошлого года). К концу 2026 года средняя заработная плата по полному кругу организаций достигнет 140 532,5 руб., темп роста к 2025 году составит 102,5%.</w:t>
      </w:r>
    </w:p>
    <w:p>
      <w:pPr>
        <w:pStyle w:val="Style18"/>
        <w:snapToGrid w:val="false"/>
        <w:spacing w:before="113" w:after="0"/>
        <w:ind w:firstLine="708"/>
        <w:rPr>
          <w:color w:val="000000"/>
          <w:sz w:val="28"/>
          <w:szCs w:val="28"/>
        </w:rPr>
      </w:pPr>
      <w:r>
        <w:rPr>
          <w:color w:val="000000"/>
          <w:sz w:val="28"/>
          <w:szCs w:val="28"/>
        </w:rPr>
        <w:t>В прогнозном периоде темп роста средней заработной плата по полному кругу организаций составит 100,9 – 103,2%.</w:t>
      </w:r>
    </w:p>
    <w:p>
      <w:pPr>
        <w:pStyle w:val="Style18"/>
        <w:snapToGrid w:val="false"/>
        <w:spacing w:before="113" w:after="0"/>
        <w:ind w:firstLine="708"/>
        <w:rPr>
          <w:color w:val="000000"/>
          <w:sz w:val="28"/>
          <w:szCs w:val="28"/>
        </w:rPr>
      </w:pPr>
      <w:r>
        <w:rPr>
          <w:color w:val="000000"/>
          <w:sz w:val="28"/>
          <w:szCs w:val="28"/>
        </w:rPr>
      </w:r>
    </w:p>
    <w:p>
      <w:pPr>
        <w:pStyle w:val="Style18"/>
        <w:snapToGrid w:val="false"/>
        <w:spacing w:before="113" w:after="0"/>
        <w:ind w:firstLine="708"/>
        <w:rPr>
          <w:color w:val="000000"/>
          <w:sz w:val="28"/>
          <w:szCs w:val="28"/>
        </w:rPr>
      </w:pPr>
      <w:r>
        <w:rPr>
          <w:color w:val="000000"/>
          <w:sz w:val="28"/>
          <w:szCs w:val="28"/>
        </w:rPr>
      </w:r>
    </w:p>
    <w:p>
      <w:pPr>
        <w:pStyle w:val="Style18"/>
        <w:snapToGrid w:val="false"/>
        <w:spacing w:before="113" w:after="0"/>
        <w:ind w:firstLine="708"/>
        <w:jc w:val="center"/>
        <w:rPr>
          <w:color w:val="000000"/>
          <w:sz w:val="28"/>
          <w:szCs w:val="28"/>
        </w:rPr>
      </w:pPr>
      <w:r>
        <w:rPr>
          <w:color w:val="000000"/>
          <w:sz w:val="28"/>
          <w:szCs w:val="28"/>
        </w:rPr>
        <w:t>Торговля и услуги</w:t>
      </w:r>
    </w:p>
    <w:p>
      <w:pPr>
        <w:pStyle w:val="Style18"/>
        <w:snapToGrid w:val="false"/>
        <w:spacing w:before="113" w:after="0"/>
        <w:ind w:firstLine="708"/>
        <w:rPr>
          <w:color w:val="000000"/>
          <w:sz w:val="28"/>
          <w:szCs w:val="28"/>
        </w:rPr>
      </w:pPr>
      <w:r>
        <w:rPr>
          <w:color w:val="000000"/>
          <w:sz w:val="28"/>
          <w:szCs w:val="28"/>
        </w:rPr>
        <w:t>Компактный город полностью обеспечен объектами предприятий розничной торговли. В городском округе работают крупные сетевые предприятия торговли ТС «Пятерочка», ТС «Магнит», «ДА», «Дикси», «Верный», «Ашан», «Красное и белое», «</w:t>
      </w:r>
      <w:r>
        <w:rPr>
          <w:color w:val="000000"/>
          <w:sz w:val="28"/>
          <w:szCs w:val="28"/>
          <w:lang w:val="en-US"/>
        </w:rPr>
        <w:t>DNS</w:t>
      </w:r>
      <w:r>
        <w:rPr>
          <w:color w:val="000000"/>
          <w:sz w:val="28"/>
          <w:szCs w:val="28"/>
        </w:rPr>
        <w:t xml:space="preserve">», «Подружка», «Улыбка радуги» и др. </w:t>
      </w:r>
    </w:p>
    <w:p>
      <w:pPr>
        <w:pStyle w:val="Style18"/>
        <w:snapToGrid w:val="false"/>
        <w:spacing w:before="113" w:after="0"/>
        <w:ind w:firstLine="708"/>
        <w:rPr>
          <w:color w:val="000000"/>
          <w:sz w:val="28"/>
          <w:szCs w:val="28"/>
        </w:rPr>
      </w:pPr>
      <w:r>
        <w:rPr>
          <w:color w:val="000000"/>
          <w:sz w:val="28"/>
          <w:szCs w:val="28"/>
        </w:rPr>
        <w:t>Оборот розничной торговли по крупным и средним организациям в 2025 году составил 11 658,1 млн. руб., что на 17,5% выше уровня предыдущего года. К концу 2026 года оборот розничной торговли достигнет 12 544,2 млн. руб., темп роста к прошлому году – 107,6%. В прогнозном периоде ожидается рост товарооборота на 6,8 – 8,4% ежегодно и к концу 2029 года составит 15 614,3 млн. руб.</w:t>
      </w:r>
    </w:p>
    <w:p>
      <w:pPr>
        <w:pStyle w:val="Style18"/>
        <w:snapToGrid w:val="false"/>
        <w:spacing w:before="113" w:after="0"/>
        <w:ind w:firstLine="708"/>
        <w:rPr>
          <w:color w:val="000000"/>
          <w:sz w:val="28"/>
          <w:szCs w:val="28"/>
        </w:rPr>
      </w:pPr>
      <w:r>
        <w:rPr>
          <w:color w:val="000000"/>
          <w:sz w:val="28"/>
          <w:szCs w:val="28"/>
        </w:rPr>
        <w:t>В целом, прогнозируемые значения показателей социально-экономического развития городского округа Фрязино Московской области на 2027 - 2029 годы свидетельствуют о положительной динамике и дальнейшем развитии экономики и социальной сферы.</w:t>
      </w:r>
    </w:p>
    <w:p>
      <w:pPr>
        <w:pStyle w:val="Style18"/>
        <w:snapToGrid w:val="false"/>
        <w:spacing w:before="113" w:after="0"/>
        <w:ind w:firstLine="708"/>
        <w:rPr>
          <w:color w:val="000000"/>
          <w:sz w:val="28"/>
          <w:szCs w:val="28"/>
        </w:rPr>
      </w:pPr>
      <w:r>
        <w:rPr>
          <w:color w:val="000000"/>
          <w:sz w:val="28"/>
          <w:szCs w:val="28"/>
        </w:rPr>
      </w:r>
    </w:p>
    <w:p>
      <w:pPr>
        <w:pStyle w:val="Normal"/>
        <w:widowControl w:val="false"/>
        <w:tabs>
          <w:tab w:val="clear" w:pos="708"/>
          <w:tab w:val="left" w:pos="1134" w:leader="none"/>
          <w:tab w:val="left" w:pos="3544" w:leader="none"/>
          <w:tab w:val="left" w:pos="4668" w:leader="none"/>
          <w:tab w:val="right" w:pos="9639" w:leader="none"/>
        </w:tabs>
        <w:spacing w:before="0" w:after="0"/>
        <w:jc w:val="both"/>
        <w:rPr>
          <w:rFonts w:ascii="Times New Roman" w:hAnsi="Times New Roman" w:cs="Times New Roman"/>
          <w:sz w:val="28"/>
          <w:szCs w:val="28"/>
          <w:lang w:eastAsia="ar-SA"/>
        </w:rPr>
      </w:pPr>
      <w:r>
        <w:rPr>
          <w:rFonts w:cs="Times New Roman" w:ascii="Times New Roman" w:hAnsi="Times New Roman"/>
          <w:sz w:val="28"/>
          <w:szCs w:val="28"/>
          <w:lang w:eastAsia="ar-SA"/>
        </w:rPr>
      </w:r>
    </w:p>
    <w:sectPr>
      <w:headerReference w:type="default" r:id="rId6"/>
      <w:headerReference w:type="first" r:id="rId7"/>
      <w:footerReference w:type="default" r:id="rId8"/>
      <w:type w:val="nextPage"/>
      <w:pgSz w:w="11906" w:h="16838"/>
      <w:pgMar w:left="1701" w:right="851" w:gutter="0" w:header="720" w:top="1134" w:footer="709" w:bottom="1134"/>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Segoe UI">
    <w:charset w:val="cc"/>
    <w:family w:val="roman"/>
    <w:pitch w:val="variable"/>
  </w:font>
  <w:font w:name="Liberation Sans">
    <w:altName w:val="Arial"/>
    <w:charset w:val="cc"/>
    <w:family w:val="swiss"/>
    <w:pitch w:val="variable"/>
  </w:font>
  <w:font w:name="Tahoma">
    <w:charset w:val="cc"/>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4"/>
      <w:ind w:right="360" w:hanging="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Style23"/>
      <w:jc w:val="center"/>
      <w:rPr/>
    </w:pPr>
    <w:r>
      <w:rPr/>
    </w:r>
  </w:p>
  <w:p>
    <w:pPr>
      <w:pStyle w:val="Style23"/>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420819323"/>
    </w:sdtPr>
    <w:sdtContent>
      <w:p>
        <w:pPr>
          <w:pStyle w:val="Style23"/>
          <w:jc w:val="center"/>
          <w:rPr/>
        </w:pPr>
        <w:r>
          <w:rPr/>
          <w:fldChar w:fldCharType="begin"/>
        </w:r>
        <w:r>
          <w:rPr/>
          <w:instrText xml:space="preserve"> PAGE </w:instrText>
        </w:r>
        <w:r>
          <w:rPr/>
          <w:fldChar w:fldCharType="separate"/>
        </w:r>
        <w:r>
          <w:rPr/>
          <w:t>3</w:t>
        </w:r>
        <w:r>
          <w:rPr/>
          <w:fldChar w:fldCharType="end"/>
        </w:r>
      </w:p>
      <w:p>
        <w:pPr>
          <w:pStyle w:val="Style23"/>
          <w:rPr/>
        </w:pPr>
        <w:r>
          <w:rPr/>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1354105321"/>
    </w:sdtPr>
    <w:sdtContent>
      <w:p>
        <w:pPr>
          <w:pStyle w:val="Style23"/>
          <w:jc w:val="center"/>
          <w:rPr/>
        </w:pPr>
        <w:r>
          <w:rPr/>
          <w:fldChar w:fldCharType="begin"/>
        </w:r>
        <w:r>
          <w:rPr/>
          <w:instrText xml:space="preserve"> PAGE </w:instrText>
        </w:r>
        <w:r>
          <w:rPr/>
          <w:fldChar w:fldCharType="separate"/>
        </w:r>
        <w:r>
          <w:rPr/>
          <w:t>8</w:t>
        </w:r>
        <w:r>
          <w:rPr/>
          <w:fldChar w:fldCharType="end"/>
        </w:r>
      </w:p>
      <w:p>
        <w:pPr>
          <w:pStyle w:val="Style23"/>
          <w:rPr/>
        </w:pPr>
        <w:r>
          <w:rPr/>
        </w:r>
      </w:p>
    </w:sdtContent>
  </w:sdt>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1"/>
      <w:numFmt w:val="decimal"/>
      <w:lvlText w:val="%1."/>
      <w:lvlJc w:val="left"/>
      <w:pPr>
        <w:tabs>
          <w:tab w:val="num" w:pos="0"/>
        </w:tabs>
        <w:ind w:left="1065" w:hanging="360"/>
      </w:pPr>
      <w:rPr/>
    </w:lvl>
    <w:lvl w:ilvl="1">
      <w:start w:val="1"/>
      <w:numFmt w:val="lowerLetter"/>
      <w:lvlText w:val="%2."/>
      <w:lvlJc w:val="left"/>
      <w:pPr>
        <w:tabs>
          <w:tab w:val="num" w:pos="0"/>
        </w:tabs>
        <w:ind w:left="1785" w:hanging="360"/>
      </w:pPr>
      <w:rPr/>
    </w:lvl>
    <w:lvl w:ilvl="2">
      <w:start w:val="1"/>
      <w:pStyle w:val="3"/>
      <w:numFmt w:val="lowerRoman"/>
      <w:lvlText w:val="%3."/>
      <w:lvlJc w:val="right"/>
      <w:pPr>
        <w:tabs>
          <w:tab w:val="num" w:pos="0"/>
        </w:tabs>
        <w:ind w:left="2505" w:hanging="180"/>
      </w:pPr>
      <w:rPr/>
    </w:lvl>
    <w:lvl w:ilvl="3">
      <w:start w:val="1"/>
      <w:numFmt w:val="decimal"/>
      <w:lvlText w:val="%4."/>
      <w:lvlJc w:val="left"/>
      <w:pPr>
        <w:tabs>
          <w:tab w:val="num" w:pos="0"/>
        </w:tabs>
        <w:ind w:left="3225" w:hanging="360"/>
      </w:pPr>
      <w:rPr/>
    </w:lvl>
    <w:lvl w:ilvl="4">
      <w:start w:val="1"/>
      <w:numFmt w:val="lowerLetter"/>
      <w:lvlText w:val="%5."/>
      <w:lvlJc w:val="left"/>
      <w:pPr>
        <w:tabs>
          <w:tab w:val="num" w:pos="0"/>
        </w:tabs>
        <w:ind w:left="3945" w:hanging="360"/>
      </w:pPr>
      <w:rPr/>
    </w:lvl>
    <w:lvl w:ilvl="5">
      <w:start w:val="1"/>
      <w:numFmt w:val="lowerRoman"/>
      <w:lvlText w:val="%6."/>
      <w:lvlJc w:val="right"/>
      <w:pPr>
        <w:tabs>
          <w:tab w:val="num" w:pos="0"/>
        </w:tabs>
        <w:ind w:left="4665" w:hanging="180"/>
      </w:pPr>
      <w:rPr/>
    </w:lvl>
    <w:lvl w:ilvl="6">
      <w:start w:val="1"/>
      <w:numFmt w:val="decimal"/>
      <w:lvlText w:val="%7."/>
      <w:lvlJc w:val="left"/>
      <w:pPr>
        <w:tabs>
          <w:tab w:val="num" w:pos="0"/>
        </w:tabs>
        <w:ind w:left="5385" w:hanging="360"/>
      </w:pPr>
      <w:rPr/>
    </w:lvl>
    <w:lvl w:ilvl="7">
      <w:start w:val="1"/>
      <w:numFmt w:val="lowerLetter"/>
      <w:lvlText w:val="%8."/>
      <w:lvlJc w:val="left"/>
      <w:pPr>
        <w:tabs>
          <w:tab w:val="num" w:pos="0"/>
        </w:tabs>
        <w:ind w:left="6105" w:hanging="360"/>
      </w:pPr>
      <w:rPr/>
    </w:lvl>
    <w:lvl w:ilvl="8">
      <w:start w:val="1"/>
      <w:numFmt w:val="lowerRoman"/>
      <w:lvlText w:val="%9."/>
      <w:lvlJc w:val="right"/>
      <w:pPr>
        <w:tabs>
          <w:tab w:val="num" w:pos="0"/>
        </w:tabs>
        <w:ind w:left="6825" w:hanging="180"/>
      </w:pPr>
      <w:rPr/>
    </w:lvl>
  </w:abstractNum>
  <w:abstractNum w:abstractNumId="2">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num w:numId="1">
    <w:abstractNumId w:val="1"/>
  </w:num>
  <w:num w:numId="2">
    <w:abstractNumId w:val="2"/>
  </w:num>
</w:numbering>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9" w:semiHidden="1" w:unhideWhenUsed="1" w:qFormat="1"/>
    <w:lsdException w:name="heading 3" w:uiPriority="0"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c5458"/>
    <w:pPr>
      <w:widowControl/>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1">
    <w:name w:val="Heading 1"/>
    <w:basedOn w:val="Normal"/>
    <w:next w:val="Normal"/>
    <w:link w:val="11"/>
    <w:qFormat/>
    <w:rsid w:val="0024235f"/>
    <w:pPr>
      <w:keepNext w:val="true"/>
      <w:numPr>
        <w:ilvl w:val="0"/>
        <w:numId w:val="1"/>
      </w:numPr>
      <w:suppressAutoHyphens w:val="true"/>
      <w:spacing w:lineRule="auto" w:line="240" w:before="0" w:after="0"/>
      <w:jc w:val="center"/>
      <w:outlineLvl w:val="0"/>
    </w:pPr>
    <w:rPr>
      <w:rFonts w:ascii="Times New Roman" w:hAnsi="Times New Roman" w:eastAsia="Times New Roman" w:cs="Times New Roman"/>
      <w:sz w:val="32"/>
      <w:szCs w:val="24"/>
      <w:lang w:eastAsia="zh-CN"/>
    </w:rPr>
  </w:style>
  <w:style w:type="paragraph" w:styleId="3">
    <w:name w:val="Heading 3"/>
    <w:basedOn w:val="Normal"/>
    <w:next w:val="Normal"/>
    <w:link w:val="31"/>
    <w:qFormat/>
    <w:rsid w:val="0024235f"/>
    <w:pPr>
      <w:keepNext w:val="true"/>
      <w:numPr>
        <w:ilvl w:val="2"/>
        <w:numId w:val="1"/>
      </w:numPr>
      <w:suppressAutoHyphens w:val="true"/>
      <w:spacing w:lineRule="auto" w:line="240" w:before="60" w:after="0"/>
      <w:jc w:val="center"/>
      <w:outlineLvl w:val="2"/>
    </w:pPr>
    <w:rPr>
      <w:rFonts w:ascii="Times New Roman" w:hAnsi="Times New Roman" w:eastAsia="Times New Roman" w:cs="Times New Roman"/>
      <w:b/>
      <w:bCs/>
      <w:sz w:val="44"/>
      <w:szCs w:val="24"/>
      <w:lang w:eastAsia="zh-CN"/>
    </w:rPr>
  </w:style>
  <w:style w:type="character" w:styleId="DefaultParagraphFont" w:default="1">
    <w:name w:val="Default Paragraph Font"/>
    <w:uiPriority w:val="1"/>
    <w:semiHidden/>
    <w:unhideWhenUsed/>
    <w:qFormat/>
    <w:rPr/>
  </w:style>
  <w:style w:type="character" w:styleId="Style12" w:customStyle="1">
    <w:name w:val="Верхний колонтитул Знак"/>
    <w:basedOn w:val="DefaultParagraphFont"/>
    <w:uiPriority w:val="99"/>
    <w:qFormat/>
    <w:rsid w:val="000b3508"/>
    <w:rPr/>
  </w:style>
  <w:style w:type="character" w:styleId="Style13" w:customStyle="1">
    <w:name w:val="Нижний колонтитул Знак"/>
    <w:basedOn w:val="DefaultParagraphFont"/>
    <w:uiPriority w:val="99"/>
    <w:qFormat/>
    <w:rsid w:val="000b3508"/>
    <w:rPr/>
  </w:style>
  <w:style w:type="character" w:styleId="Style14" w:customStyle="1">
    <w:name w:val="Текст выноски Знак"/>
    <w:basedOn w:val="DefaultParagraphFont"/>
    <w:link w:val="BalloonText"/>
    <w:uiPriority w:val="99"/>
    <w:semiHidden/>
    <w:qFormat/>
    <w:rsid w:val="00593c75"/>
    <w:rPr>
      <w:rFonts w:ascii="Segoe UI" w:hAnsi="Segoe UI" w:cs="Segoe UI"/>
      <w:sz w:val="18"/>
      <w:szCs w:val="18"/>
    </w:rPr>
  </w:style>
  <w:style w:type="character" w:styleId="-">
    <w:name w:val="Hyperlink"/>
    <w:basedOn w:val="DefaultParagraphFont"/>
    <w:uiPriority w:val="99"/>
    <w:semiHidden/>
    <w:unhideWhenUsed/>
    <w:rsid w:val="00800d27"/>
    <w:rPr>
      <w:color w:val="0000FF"/>
      <w:u w:val="single"/>
    </w:rPr>
  </w:style>
  <w:style w:type="character" w:styleId="Style15">
    <w:name w:val="FollowedHyperlink"/>
    <w:basedOn w:val="DefaultParagraphFont"/>
    <w:uiPriority w:val="99"/>
    <w:semiHidden/>
    <w:unhideWhenUsed/>
    <w:rsid w:val="00800d27"/>
    <w:rPr>
      <w:color w:val="800080"/>
      <w:u w:val="single"/>
    </w:rPr>
  </w:style>
  <w:style w:type="character" w:styleId="11" w:customStyle="1">
    <w:name w:val="Заголовок 1 Знак"/>
    <w:basedOn w:val="DefaultParagraphFont"/>
    <w:qFormat/>
    <w:rsid w:val="0024235f"/>
    <w:rPr>
      <w:rFonts w:ascii="Times New Roman" w:hAnsi="Times New Roman" w:eastAsia="Times New Roman" w:cs="Times New Roman"/>
      <w:sz w:val="32"/>
      <w:szCs w:val="24"/>
      <w:lang w:eastAsia="zh-CN"/>
    </w:rPr>
  </w:style>
  <w:style w:type="character" w:styleId="31" w:customStyle="1">
    <w:name w:val="Заголовок 3 Знак"/>
    <w:basedOn w:val="DefaultParagraphFont"/>
    <w:qFormat/>
    <w:rsid w:val="0024235f"/>
    <w:rPr>
      <w:rFonts w:ascii="Times New Roman" w:hAnsi="Times New Roman" w:eastAsia="Times New Roman" w:cs="Times New Roman"/>
      <w:b/>
      <w:bCs/>
      <w:sz w:val="44"/>
      <w:szCs w:val="24"/>
      <w:lang w:eastAsia="zh-CN"/>
    </w:rPr>
  </w:style>
  <w:style w:type="character" w:styleId="Style16" w:customStyle="1">
    <w:name w:val="Основной текст Знак"/>
    <w:basedOn w:val="DefaultParagraphFont"/>
    <w:qFormat/>
    <w:rsid w:val="00d20db6"/>
    <w:rPr>
      <w:rFonts w:ascii="Times New Roman" w:hAnsi="Times New Roman" w:eastAsia="Times New Roman" w:cs="Times New Roman"/>
      <w:sz w:val="32"/>
      <w:szCs w:val="20"/>
      <w:lang w:eastAsia="zh-CN"/>
    </w:rPr>
  </w:style>
  <w:style w:type="paragraph" w:styleId="Style17">
    <w:name w:val="Заголовок"/>
    <w:basedOn w:val="Normal"/>
    <w:next w:val="Style18"/>
    <w:qFormat/>
    <w:pPr>
      <w:keepNext w:val="true"/>
      <w:spacing w:before="240" w:after="120"/>
    </w:pPr>
    <w:rPr>
      <w:rFonts w:ascii="Liberation Sans" w:hAnsi="Liberation Sans" w:eastAsia="Microsoft YaHei" w:cs="Arial Unicode MS"/>
      <w:sz w:val="28"/>
      <w:szCs w:val="28"/>
    </w:rPr>
  </w:style>
  <w:style w:type="paragraph" w:styleId="Style18">
    <w:name w:val="Body Text"/>
    <w:basedOn w:val="Normal"/>
    <w:link w:val="Style16"/>
    <w:rsid w:val="00d20db6"/>
    <w:pPr>
      <w:tabs>
        <w:tab w:val="clear" w:pos="708"/>
        <w:tab w:val="left" w:pos="8788" w:leader="none"/>
      </w:tabs>
      <w:suppressAutoHyphens w:val="true"/>
      <w:overflowPunct w:val="true"/>
      <w:spacing w:lineRule="auto" w:line="240" w:before="0" w:after="0"/>
      <w:jc w:val="both"/>
      <w:textAlignment w:val="baseline"/>
    </w:pPr>
    <w:rPr>
      <w:rFonts w:ascii="Times New Roman" w:hAnsi="Times New Roman" w:eastAsia="Times New Roman" w:cs="Times New Roman"/>
      <w:sz w:val="32"/>
      <w:szCs w:val="20"/>
      <w:lang w:eastAsia="zh-CN"/>
    </w:rPr>
  </w:style>
  <w:style w:type="paragraph" w:styleId="Style19">
    <w:name w:val="List"/>
    <w:basedOn w:val="Style18"/>
    <w:pPr/>
    <w:rPr>
      <w:rFonts w:cs="Arial Unicode MS"/>
    </w:rPr>
  </w:style>
  <w:style w:type="paragraph" w:styleId="Style20">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ListParagraph">
    <w:name w:val="List Paragraph"/>
    <w:basedOn w:val="Normal"/>
    <w:uiPriority w:val="34"/>
    <w:qFormat/>
    <w:rsid w:val="004c5458"/>
    <w:pPr>
      <w:spacing w:before="0" w:after="160"/>
      <w:ind w:left="720" w:hanging="0"/>
      <w:contextualSpacing/>
    </w:pPr>
    <w:rPr/>
  </w:style>
  <w:style w:type="paragraph" w:styleId="Style22">
    <w:name w:val="Колонтитул"/>
    <w:basedOn w:val="Normal"/>
    <w:qFormat/>
    <w:pPr/>
    <w:rPr/>
  </w:style>
  <w:style w:type="paragraph" w:styleId="Style23">
    <w:name w:val="Header"/>
    <w:basedOn w:val="Normal"/>
    <w:link w:val="Style12"/>
    <w:uiPriority w:val="99"/>
    <w:unhideWhenUsed/>
    <w:rsid w:val="000b3508"/>
    <w:pPr>
      <w:tabs>
        <w:tab w:val="clear" w:pos="708"/>
        <w:tab w:val="center" w:pos="4677" w:leader="none"/>
        <w:tab w:val="right" w:pos="9355" w:leader="none"/>
      </w:tabs>
      <w:spacing w:lineRule="auto" w:line="240" w:before="0" w:after="0"/>
    </w:pPr>
    <w:rPr/>
  </w:style>
  <w:style w:type="paragraph" w:styleId="Style24">
    <w:name w:val="Footer"/>
    <w:basedOn w:val="Normal"/>
    <w:link w:val="Style13"/>
    <w:uiPriority w:val="99"/>
    <w:unhideWhenUsed/>
    <w:rsid w:val="000b3508"/>
    <w:pPr>
      <w:tabs>
        <w:tab w:val="clear" w:pos="708"/>
        <w:tab w:val="center" w:pos="4677" w:leader="none"/>
        <w:tab w:val="right" w:pos="9355" w:leader="none"/>
      </w:tabs>
      <w:spacing w:lineRule="auto" w:line="240" w:before="0" w:after="0"/>
    </w:pPr>
    <w:rPr/>
  </w:style>
  <w:style w:type="paragraph" w:styleId="BalloonText">
    <w:name w:val="Balloon Text"/>
    <w:basedOn w:val="Normal"/>
    <w:link w:val="Style14"/>
    <w:uiPriority w:val="99"/>
    <w:semiHidden/>
    <w:unhideWhenUsed/>
    <w:qFormat/>
    <w:rsid w:val="00593c75"/>
    <w:pPr>
      <w:spacing w:lineRule="auto" w:line="240" w:before="0" w:after="0"/>
    </w:pPr>
    <w:rPr>
      <w:rFonts w:ascii="Segoe UI" w:hAnsi="Segoe UI" w:cs="Segoe UI"/>
      <w:sz w:val="18"/>
      <w:szCs w:val="18"/>
    </w:rPr>
  </w:style>
  <w:style w:type="paragraph" w:styleId="Xl65" w:customStyle="1">
    <w:name w:val="xl65"/>
    <w:basedOn w:val="Normal"/>
    <w:qFormat/>
    <w:rsid w:val="00800d27"/>
    <w:pPr>
      <w:pBdr>
        <w:bottom w:val="single" w:sz="4" w:space="0" w:color="808080"/>
      </w:pBdr>
      <w:spacing w:lineRule="auto" w:line="240" w:beforeAutospacing="1" w:afterAutospacing="1"/>
      <w:textAlignment w:val="top"/>
    </w:pPr>
    <w:rPr>
      <w:rFonts w:ascii="Tahoma" w:hAnsi="Tahoma" w:eastAsia="Times New Roman" w:cs="Tahoma"/>
      <w:b/>
      <w:bCs/>
      <w:color w:val="333333"/>
      <w:sz w:val="24"/>
      <w:szCs w:val="24"/>
      <w:lang w:eastAsia="ru-RU"/>
    </w:rPr>
  </w:style>
  <w:style w:type="paragraph" w:styleId="Xl66" w:customStyle="1">
    <w:name w:val="xl66"/>
    <w:basedOn w:val="Normal"/>
    <w:qFormat/>
    <w:rsid w:val="00800d27"/>
    <w:pPr>
      <w:pBdr>
        <w:bottom w:val="single" w:sz="4" w:space="0" w:color="808080"/>
      </w:pBdr>
      <w:spacing w:lineRule="auto" w:line="240" w:beforeAutospacing="1" w:afterAutospacing="1"/>
      <w:textAlignment w:val="top"/>
    </w:pPr>
    <w:rPr>
      <w:rFonts w:ascii="Tahoma" w:hAnsi="Tahoma" w:eastAsia="Times New Roman" w:cs="Tahoma"/>
      <w:color w:val="333333"/>
      <w:sz w:val="28"/>
      <w:szCs w:val="28"/>
      <w:lang w:eastAsia="ru-RU"/>
    </w:rPr>
  </w:style>
  <w:style w:type="paragraph" w:styleId="Xl67" w:customStyle="1">
    <w:name w:val="xl67"/>
    <w:basedOn w:val="Normal"/>
    <w:qFormat/>
    <w:rsid w:val="00800d27"/>
    <w:pPr>
      <w:pBdr>
        <w:top w:val="single" w:sz="4" w:space="0" w:color="808080"/>
        <w:left w:val="single" w:sz="4" w:space="0" w:color="808080"/>
        <w:bottom w:val="single" w:sz="4" w:space="0" w:color="808080"/>
        <w:right w:val="single" w:sz="4" w:space="0" w:color="808080"/>
      </w:pBdr>
      <w:spacing w:lineRule="auto" w:line="240" w:beforeAutospacing="1" w:afterAutospacing="1"/>
      <w:jc w:val="center"/>
      <w:textAlignment w:val="center"/>
    </w:pPr>
    <w:rPr>
      <w:rFonts w:ascii="Times New Roman" w:hAnsi="Times New Roman" w:eastAsia="Times New Roman" w:cs="Times New Roman"/>
      <w:b/>
      <w:bCs/>
      <w:sz w:val="24"/>
      <w:szCs w:val="24"/>
      <w:lang w:eastAsia="ru-RU"/>
    </w:rPr>
  </w:style>
  <w:style w:type="paragraph" w:styleId="Xl68" w:customStyle="1">
    <w:name w:val="xl68"/>
    <w:basedOn w:val="Normal"/>
    <w:qFormat/>
    <w:rsid w:val="00800d27"/>
    <w:pPr>
      <w:pBdr>
        <w:top w:val="single" w:sz="4" w:space="0" w:color="808080"/>
        <w:left w:val="single" w:sz="4" w:space="0" w:color="808080"/>
        <w:bottom w:val="single" w:sz="4" w:space="0" w:color="808080"/>
        <w:right w:val="single" w:sz="4" w:space="0" w:color="808080"/>
      </w:pBdr>
      <w:spacing w:lineRule="auto" w:line="240" w:beforeAutospacing="1" w:afterAutospacing="1"/>
      <w:textAlignment w:val="center"/>
    </w:pPr>
    <w:rPr>
      <w:rFonts w:ascii="Times New Roman" w:hAnsi="Times New Roman" w:eastAsia="Times New Roman" w:cs="Times New Roman"/>
      <w:b/>
      <w:bCs/>
      <w:sz w:val="24"/>
      <w:szCs w:val="24"/>
      <w:lang w:eastAsia="ru-RU"/>
    </w:rPr>
  </w:style>
  <w:style w:type="paragraph" w:styleId="Xl69" w:customStyle="1">
    <w:name w:val="xl69"/>
    <w:basedOn w:val="Normal"/>
    <w:qFormat/>
    <w:rsid w:val="00800d27"/>
    <w:pPr>
      <w:pBdr>
        <w:top w:val="single" w:sz="4" w:space="0" w:color="808080"/>
        <w:left w:val="single" w:sz="4" w:space="18" w:color="808080"/>
        <w:bottom w:val="single" w:sz="4" w:space="0" w:color="808080"/>
        <w:right w:val="single" w:sz="4" w:space="0" w:color="808080"/>
      </w:pBdr>
      <w:spacing w:lineRule="auto" w:line="240" w:beforeAutospacing="1" w:afterAutospacing="1"/>
      <w:ind w:firstLine="200"/>
      <w:textAlignment w:val="center"/>
    </w:pPr>
    <w:rPr>
      <w:rFonts w:ascii="Times New Roman" w:hAnsi="Times New Roman" w:eastAsia="Times New Roman" w:cs="Times New Roman"/>
      <w:b/>
      <w:bCs/>
      <w:sz w:val="24"/>
      <w:szCs w:val="24"/>
      <w:lang w:eastAsia="ru-RU"/>
    </w:rPr>
  </w:style>
  <w:style w:type="paragraph" w:styleId="Xl70" w:customStyle="1">
    <w:name w:val="xl70"/>
    <w:basedOn w:val="Normal"/>
    <w:qFormat/>
    <w:rsid w:val="00800d27"/>
    <w:pPr>
      <w:pBdr>
        <w:top w:val="single" w:sz="4" w:space="0" w:color="808080"/>
        <w:left w:val="single" w:sz="4" w:space="18" w:color="808080"/>
        <w:bottom w:val="single" w:sz="4" w:space="0" w:color="808080"/>
        <w:right w:val="single" w:sz="4" w:space="0" w:color="808080"/>
      </w:pBdr>
      <w:spacing w:lineRule="auto" w:line="240" w:beforeAutospacing="1" w:afterAutospacing="1"/>
      <w:ind w:firstLine="200"/>
      <w:textAlignment w:val="center"/>
    </w:pPr>
    <w:rPr>
      <w:rFonts w:ascii="Times New Roman" w:hAnsi="Times New Roman" w:eastAsia="Times New Roman" w:cs="Times New Roman"/>
      <w:sz w:val="24"/>
      <w:szCs w:val="24"/>
      <w:lang w:eastAsia="ru-RU"/>
    </w:rPr>
  </w:style>
  <w:style w:type="paragraph" w:styleId="Xl71" w:customStyle="1">
    <w:name w:val="xl71"/>
    <w:basedOn w:val="Normal"/>
    <w:qFormat/>
    <w:rsid w:val="00800d27"/>
    <w:pPr>
      <w:pBdr>
        <w:top w:val="single" w:sz="4" w:space="0" w:color="808080"/>
        <w:left w:val="single" w:sz="4" w:space="31" w:color="808080"/>
        <w:bottom w:val="single" w:sz="4" w:space="0" w:color="808080"/>
        <w:right w:val="single" w:sz="4" w:space="0" w:color="808080"/>
      </w:pBdr>
      <w:spacing w:lineRule="auto" w:line="240" w:beforeAutospacing="1" w:afterAutospacing="1"/>
      <w:ind w:firstLine="400"/>
      <w:textAlignment w:val="center"/>
    </w:pPr>
    <w:rPr>
      <w:rFonts w:ascii="Times New Roman" w:hAnsi="Times New Roman" w:eastAsia="Times New Roman" w:cs="Times New Roman"/>
      <w:sz w:val="24"/>
      <w:szCs w:val="24"/>
      <w:lang w:eastAsia="ru-RU"/>
    </w:rPr>
  </w:style>
  <w:style w:type="paragraph" w:styleId="Xl72" w:customStyle="1">
    <w:name w:val="xl72"/>
    <w:basedOn w:val="Normal"/>
    <w:qFormat/>
    <w:rsid w:val="00800d27"/>
    <w:pPr>
      <w:pBdr>
        <w:top w:val="single" w:sz="4" w:space="0" w:color="808080"/>
        <w:left w:val="single" w:sz="4" w:space="0" w:color="808080"/>
        <w:bottom w:val="single" w:sz="4" w:space="0" w:color="808080"/>
        <w:right w:val="single" w:sz="4" w:space="0" w:color="808080"/>
      </w:pBdr>
      <w:spacing w:lineRule="auto" w:line="240" w:beforeAutospacing="1" w:afterAutospacing="1"/>
      <w:textAlignment w:val="center"/>
    </w:pPr>
    <w:rPr>
      <w:rFonts w:ascii="Times New Roman" w:hAnsi="Times New Roman" w:eastAsia="Times New Roman" w:cs="Times New Roman"/>
      <w:sz w:val="24"/>
      <w:szCs w:val="24"/>
      <w:lang w:eastAsia="ru-RU"/>
    </w:rPr>
  </w:style>
  <w:style w:type="paragraph" w:styleId="Xl73" w:customStyle="1">
    <w:name w:val="xl73"/>
    <w:basedOn w:val="Normal"/>
    <w:qFormat/>
    <w:rsid w:val="00800d27"/>
    <w:pPr>
      <w:pBdr>
        <w:top w:val="single" w:sz="4" w:space="0" w:color="808080"/>
        <w:left w:val="single" w:sz="4" w:space="31" w:color="808080"/>
        <w:bottom w:val="single" w:sz="4" w:space="0" w:color="808080"/>
        <w:right w:val="single" w:sz="4" w:space="0" w:color="808080"/>
      </w:pBdr>
      <w:spacing w:lineRule="auto" w:line="240" w:beforeAutospacing="1" w:afterAutospacing="1"/>
      <w:ind w:firstLine="400"/>
      <w:textAlignment w:val="center"/>
    </w:pPr>
    <w:rPr>
      <w:rFonts w:ascii="Times New Roman" w:hAnsi="Times New Roman" w:eastAsia="Times New Roman" w:cs="Times New Roman"/>
      <w:b/>
      <w:bCs/>
      <w:sz w:val="24"/>
      <w:szCs w:val="24"/>
      <w:lang w:eastAsia="ru-RU"/>
    </w:rPr>
  </w:style>
  <w:style w:type="paragraph" w:styleId="Xl74" w:customStyle="1">
    <w:name w:val="xl74"/>
    <w:basedOn w:val="Normal"/>
    <w:qFormat/>
    <w:rsid w:val="00800d27"/>
    <w:pPr>
      <w:pBdr>
        <w:top w:val="single" w:sz="4" w:space="0" w:color="808080"/>
        <w:left w:val="single" w:sz="4" w:space="31" w:color="808080"/>
        <w:bottom w:val="single" w:sz="4" w:space="0" w:color="808080"/>
        <w:right w:val="single" w:sz="4" w:space="0" w:color="808080"/>
      </w:pBdr>
      <w:spacing w:lineRule="auto" w:line="240" w:beforeAutospacing="1" w:afterAutospacing="1"/>
      <w:ind w:firstLine="600"/>
      <w:textAlignment w:val="center"/>
    </w:pPr>
    <w:rPr>
      <w:rFonts w:ascii="Times New Roman" w:hAnsi="Times New Roman" w:eastAsia="Times New Roman" w:cs="Times New Roman"/>
      <w:sz w:val="24"/>
      <w:szCs w:val="24"/>
      <w:lang w:eastAsia="ru-RU"/>
    </w:rPr>
  </w:style>
  <w:style w:type="paragraph" w:styleId="Xl75" w:customStyle="1">
    <w:name w:val="xl75"/>
    <w:basedOn w:val="Normal"/>
    <w:qFormat/>
    <w:rsid w:val="00800d27"/>
    <w:pPr>
      <w:pBdr>
        <w:top w:val="single" w:sz="4" w:space="0" w:color="808080"/>
        <w:left w:val="single" w:sz="4" w:space="0" w:color="808080"/>
        <w:bottom w:val="single" w:sz="4" w:space="0" w:color="808080"/>
        <w:right w:val="single" w:sz="4" w:space="0" w:color="808080"/>
      </w:pBdr>
      <w:spacing w:lineRule="auto" w:line="240" w:beforeAutospacing="1" w:afterAutospacing="1"/>
      <w:textAlignment w:val="center"/>
    </w:pPr>
    <w:rPr>
      <w:rFonts w:ascii="Times New Roman" w:hAnsi="Times New Roman" w:eastAsia="Times New Roman" w:cs="Times New Roman"/>
      <w:sz w:val="24"/>
      <w:szCs w:val="24"/>
      <w:lang w:eastAsia="ru-RU"/>
    </w:rPr>
  </w:style>
  <w:style w:type="paragraph" w:styleId="Xl76" w:customStyle="1">
    <w:name w:val="xl76"/>
    <w:basedOn w:val="Normal"/>
    <w:qFormat/>
    <w:rsid w:val="00800d27"/>
    <w:pPr>
      <w:spacing w:lineRule="auto" w:line="240" w:beforeAutospacing="1" w:afterAutospacing="1"/>
      <w:textAlignment w:val="top"/>
    </w:pPr>
    <w:rPr>
      <w:rFonts w:ascii="Tahoma" w:hAnsi="Tahoma" w:eastAsia="Times New Roman" w:cs="Tahoma"/>
      <w:color w:val="333333"/>
      <w:sz w:val="28"/>
      <w:szCs w:val="28"/>
      <w:lang w:eastAsia="ru-RU"/>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header" Target="header4.xml"/><Relationship Id="rId7" Type="http://schemas.openxmlformats.org/officeDocument/2006/relationships/header" Target="header5.xml"/><Relationship Id="rId8" Type="http://schemas.openxmlformats.org/officeDocument/2006/relationships/footer" Target="footer1.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Relationship Id="rId13"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13022C-4A6B-405B-A1E3-4FA0209E6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9237</TotalTime>
  <Application>LibreOffice/7.5.7.1$Windows_X86_64 LibreOffice_project/47eb0cf7efbacdee9b19ae25d6752381ede23126</Application>
  <AppVersion>15.0000</AppVersion>
  <Pages>8</Pages>
  <Words>1859</Words>
  <Characters>12027</Characters>
  <CharactersWithSpaces>13834</CharactersWithSpaces>
  <Paragraphs>235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2020-09-29T09:44:00Z</dcterms:created>
  <dc:creator>Петракова</dc:creator>
  <dc:description/>
  <dc:language>ru-RU</dc:language>
  <cp:lastModifiedBy/>
  <cp:lastPrinted>2025-09-25T06:16:00Z</cp:lastPrinted>
  <dcterms:modified xsi:type="dcterms:W3CDTF">2026-09-17T11:53:08Z</dcterms:modified>
  <cp:revision>96</cp:revision>
  <dc:subject/>
  <dc:title/>
</cp:coreProperties>
</file>

<file path=docProps/custom.xml><?xml version="1.0" encoding="utf-8"?>
<Properties xmlns="http://schemas.openxmlformats.org/officeDocument/2006/custom-properties" xmlns:vt="http://schemas.openxmlformats.org/officeDocument/2006/docPropsVTypes"/>
</file>