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96" w:rsidRDefault="00246B96" w:rsidP="00246B96">
      <w:pPr>
        <w:pStyle w:val="1"/>
        <w:numPr>
          <w:ilvl w:val="0"/>
          <w:numId w:val="3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246B96" w:rsidRDefault="00246B96" w:rsidP="00246B96">
      <w:pPr>
        <w:pStyle w:val="3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246B96" w:rsidRDefault="00246B96" w:rsidP="00246B96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FE0FEE" w:rsidRDefault="00246B96" w:rsidP="00246B96">
      <w:pPr>
        <w:spacing w:before="60"/>
        <w:ind w:left="1842" w:firstLine="608"/>
        <w:rPr>
          <w:rFonts w:ascii="Times New Roman" w:hAnsi="Times New Roman" w:cs="Times New Roman"/>
          <w:sz w:val="28"/>
          <w:szCs w:val="28"/>
        </w:rPr>
      </w:pPr>
      <w:r w:rsidRPr="00246B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246B9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246B96">
        <w:rPr>
          <w:rFonts w:ascii="Times New Roman" w:hAnsi="Times New Roman" w:cs="Times New Roman"/>
          <w:sz w:val="28"/>
          <w:szCs w:val="28"/>
        </w:rPr>
        <w:t xml:space="preserve"> </w:t>
      </w:r>
      <w:r w:rsidR="00552061">
        <w:rPr>
          <w:rFonts w:ascii="Times New Roman" w:hAnsi="Times New Roman" w:cs="Times New Roman"/>
          <w:sz w:val="28"/>
          <w:szCs w:val="28"/>
        </w:rPr>
        <w:t>14.10.2024</w:t>
      </w:r>
      <w:r w:rsidRPr="00246B96">
        <w:rPr>
          <w:rFonts w:ascii="Times New Roman" w:hAnsi="Times New Roman" w:cs="Times New Roman"/>
          <w:sz w:val="28"/>
          <w:szCs w:val="28"/>
        </w:rPr>
        <w:t xml:space="preserve"> </w:t>
      </w:r>
      <w:r w:rsidRPr="00246B96">
        <w:rPr>
          <w:rFonts w:ascii="Times New Roman" w:hAnsi="Times New Roman" w:cs="Times New Roman"/>
          <w:b/>
          <w:sz w:val="28"/>
          <w:szCs w:val="28"/>
        </w:rPr>
        <w:t>№</w:t>
      </w:r>
      <w:r w:rsidRPr="00246B96">
        <w:rPr>
          <w:rFonts w:ascii="Times New Roman" w:hAnsi="Times New Roman" w:cs="Times New Roman"/>
          <w:sz w:val="28"/>
          <w:szCs w:val="28"/>
        </w:rPr>
        <w:t xml:space="preserve"> </w:t>
      </w:r>
      <w:r w:rsidR="00552061">
        <w:rPr>
          <w:rFonts w:ascii="Times New Roman" w:hAnsi="Times New Roman" w:cs="Times New Roman"/>
          <w:sz w:val="28"/>
          <w:szCs w:val="28"/>
        </w:rPr>
        <w:t>1018</w:t>
      </w:r>
    </w:p>
    <w:p w:rsidR="00FE0FEE" w:rsidRDefault="00FE0FEE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E0FEE" w:rsidRDefault="00FE0FEE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E0FEE" w:rsidRDefault="00383267" w:rsidP="00246B96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городского округа Фрязино Московской области на 2025-2027 годы</w:t>
      </w:r>
    </w:p>
    <w:p w:rsidR="00FE0FEE" w:rsidRDefault="00FE0FEE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E0FEE" w:rsidRDefault="00383267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городского округа Фрязино от 15.02.2021 № 45/12 «О принятии Положения о бюджетном процессе в городском округе Фрязино Московской области», руководствуясь Уставом городского округа Фрязино Московской области,</w:t>
      </w:r>
    </w:p>
    <w:p w:rsidR="00FE0FEE" w:rsidRDefault="00FE0FE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EE" w:rsidRDefault="0038326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E0FEE" w:rsidRDefault="00FE0FE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EE" w:rsidRDefault="00383267">
      <w:pPr>
        <w:pStyle w:val="ad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прогноз социально-экономического развития городского округа Фрязино Московской области на 2025-2027 годы согласно приложению к настоящему постановлению и в установленном порядке представить 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Совет депутатов городского округа Фрязино одновременно с проектом решения Совета депутатов городского округа Фрязино о бюджете городского округа Фрязино на 2025 год и на плановый период 2026 и 2027 годов (прилагается). </w:t>
      </w:r>
    </w:p>
    <w:p w:rsidR="00FE0FEE" w:rsidRDefault="00383267">
      <w:pPr>
        <w:pStyle w:val="ad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Опубликовать настоящее постановление на официальном сайте городского округа Фрязино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  <w:lang w:eastAsia="zh-CN"/>
        </w:rPr>
        <w:t>в информационно-телекоммуникационной сети Интернет.</w:t>
      </w:r>
    </w:p>
    <w:p w:rsidR="00FE0FEE" w:rsidRDefault="00383267">
      <w:pPr>
        <w:pStyle w:val="ad"/>
        <w:numPr>
          <w:ilvl w:val="0"/>
          <w:numId w:val="2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Фрязино Князеву Н.В.</w:t>
      </w:r>
    </w:p>
    <w:p w:rsidR="00FE0FEE" w:rsidRDefault="00FE0FEE">
      <w:pPr>
        <w:pStyle w:val="ad"/>
        <w:spacing w:after="0"/>
        <w:ind w:left="106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0FEE" w:rsidRDefault="00FE0FEE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0FEE" w:rsidRDefault="00383267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городского округа Фрязино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Д.Р. Воробьев</w:t>
      </w:r>
    </w:p>
    <w:p w:rsidR="00FE0FEE" w:rsidRDefault="00FE0FEE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0FEE" w:rsidRDefault="00FE0FEE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FE0FEE">
          <w:pgSz w:w="11906" w:h="16838"/>
          <w:pgMar w:top="1134" w:right="567" w:bottom="1361" w:left="1701" w:header="0" w:footer="0" w:gutter="0"/>
          <w:cols w:space="720"/>
          <w:formProt w:val="0"/>
          <w:docGrid w:linePitch="360" w:charSpace="4096"/>
        </w:sectPr>
      </w:pPr>
    </w:p>
    <w:p w:rsidR="00FE0FEE" w:rsidRDefault="00383267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ind w:left="978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FE0FEE" w:rsidRDefault="00383267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ind w:left="978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постановлению Администрации городского округа Фрязино </w:t>
      </w:r>
    </w:p>
    <w:p w:rsidR="00FE0FEE" w:rsidRDefault="00383267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ind w:left="978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552061">
        <w:rPr>
          <w:rFonts w:ascii="Times New Roman" w:hAnsi="Times New Roman" w:cs="Times New Roman"/>
          <w:sz w:val="28"/>
          <w:szCs w:val="28"/>
          <w:lang w:eastAsia="ar-SA"/>
        </w:rPr>
        <w:t>14.10.2024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552061">
        <w:rPr>
          <w:rFonts w:ascii="Times New Roman" w:hAnsi="Times New Roman" w:cs="Times New Roman"/>
          <w:sz w:val="28"/>
          <w:szCs w:val="28"/>
          <w:lang w:eastAsia="ar-SA"/>
        </w:rPr>
        <w:t>1018</w:t>
      </w:r>
    </w:p>
    <w:p w:rsidR="00FE0FEE" w:rsidRDefault="00383267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rPr>
          <w:rFonts w:ascii="Times New Roman" w:hAnsi="Times New Roman"/>
        </w:rPr>
        <w:instrText>LINK Excel.Sheet.12 "D:\\Мои документы\\ПРОГНОЗ\\2025-2027\\Фрязино прогноз\\Постановление\\Выходные таблицы по муниципальному прогнозу 2024.xlsx" "Ввод данных!R2C2:R31C13" \a \f 4 \h  \* MERGEFORMAT</w:instrText>
      </w:r>
      <w:r>
        <w:rPr>
          <w:rFonts w:ascii="Times New Roman" w:hAnsi="Times New Roman"/>
        </w:rPr>
        <w:fldChar w:fldCharType="separate"/>
      </w:r>
    </w:p>
    <w:tbl>
      <w:tblPr>
        <w:tblW w:w="14851" w:type="dxa"/>
        <w:tblInd w:w="155" w:type="dxa"/>
        <w:tblLayout w:type="fixed"/>
        <w:tblLook w:val="06A0" w:firstRow="1" w:lastRow="0" w:firstColumn="1" w:lastColumn="0" w:noHBand="1" w:noVBand="1"/>
      </w:tblPr>
      <w:tblGrid>
        <w:gridCol w:w="4412"/>
        <w:gridCol w:w="948"/>
        <w:gridCol w:w="1036"/>
        <w:gridCol w:w="988"/>
        <w:gridCol w:w="1120"/>
        <w:gridCol w:w="981"/>
        <w:gridCol w:w="988"/>
        <w:gridCol w:w="988"/>
        <w:gridCol w:w="1128"/>
        <w:gridCol w:w="1135"/>
        <w:gridCol w:w="1127"/>
      </w:tblGrid>
      <w:tr w:rsidR="00FE0FEE">
        <w:trPr>
          <w:trHeight w:val="465"/>
        </w:trPr>
        <w:tc>
          <w:tcPr>
            <w:tcW w:w="14849" w:type="dxa"/>
            <w:gridSpan w:val="11"/>
            <w:shd w:val="clear" w:color="auto" w:fill="auto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социально-экономического развития</w:t>
            </w:r>
          </w:p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Фрязино Московской области на 2025-2027 годы</w:t>
            </w:r>
          </w:p>
          <w:p w:rsidR="00FE0FEE" w:rsidRDefault="00FE0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FEE">
        <w:trPr>
          <w:trHeight w:val="330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FE0FEE">
        <w:trPr>
          <w:trHeight w:val="540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EE" w:rsidRDefault="00FE0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EE" w:rsidRDefault="00FE0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Прогноз вариант 1 (консервативный)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Прогноз вариант 2 (базовый)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Прогноз вариант 1 (консервативный)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Прогноз вариант 2 (базовый)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Прогноз вариант 1 (консервативный)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Прогноз вариант 2 (базовый)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Демографические показатели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0FEE">
        <w:trPr>
          <w:trHeight w:val="5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Численность постоянного населения (на конец года)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59 622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58 677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57 727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56 871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56 903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56 096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55 190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55 295</w:t>
            </w:r>
          </w:p>
        </w:tc>
      </w:tr>
      <w:tr w:rsidR="00FE0FEE">
        <w:trPr>
          <w:trHeight w:val="5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Численность постоянного населения (среднегодовая)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60 005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59 150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58 202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57 299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57 315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56 451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55 696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Промышленное производство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FEE">
        <w:trPr>
          <w:trHeight w:val="141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ценах соответствующих лет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61 957,0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73 588,9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80 874,2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89 123,4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90 013,0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98 481,4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100 634,5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109 215,8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113 012,6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Малое и среднее предпринимательство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FEE">
        <w:trPr>
          <w:trHeight w:val="5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малых и средних предприятий, 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 конец года)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proofErr w:type="gramEnd"/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Инвестиции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FEE">
        <w:trPr>
          <w:trHeight w:val="12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8 475,67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8 059,63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8 637,00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8 678,00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8 751,00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9 099,00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 Строительство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FEE">
        <w:trPr>
          <w:trHeight w:val="76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жилищного строительства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 м общей площади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FE0FEE">
        <w:trPr>
          <w:trHeight w:val="5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жильем (на конец года)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 на человека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25,34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26,21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Труд и заработная плата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FEE">
        <w:trPr>
          <w:trHeight w:val="37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рабочих мест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proofErr w:type="gramEnd"/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</w:tr>
      <w:tr w:rsidR="00FE0FEE">
        <w:trPr>
          <w:trHeight w:val="5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официально зарегистрированных безработных, на конец года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FE0FEE">
        <w:trPr>
          <w:trHeight w:val="37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начисленной заработной платы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22 927,8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24 720,9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28 373,8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30 169,2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30 794,1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31 957,2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32 864,9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33 728,4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34 954,9</w:t>
            </w:r>
          </w:p>
        </w:tc>
      </w:tr>
      <w:tr w:rsidR="00FE0FEE">
        <w:trPr>
          <w:trHeight w:val="76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(по полному кругу организаций)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  <w:proofErr w:type="gramEnd"/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91 769,9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99 477,3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right="-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111 986,5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right="-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117 262,1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right="-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119 423,6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right="-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122 317,7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right="-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125 297,0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127 273,1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131 052,7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 Торговля и услуги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FEE">
        <w:trPr>
          <w:trHeight w:val="5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торговых объектов предприятий розничной торговли (на конец года)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FE0FEE">
        <w:trPr>
          <w:trHeight w:val="97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2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розничной торговли по крупным и средним организациям (без организаций с численностью работающих менее 15 человек) в ценах соответствующих лет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10 666,6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9 130,6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10 043,7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10 631,4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10 664,1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11 244,1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11 939,5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12 117,6</w:t>
            </w:r>
          </w:p>
        </w:tc>
      </w:tr>
      <w:tr w:rsidR="00FE0FEE">
        <w:trPr>
          <w:trHeight w:val="33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 Образование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FEE">
        <w:trPr>
          <w:trHeight w:val="97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ind w:firstLine="2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обучающихся в государственных (муниципальных) общеобразовательных организациях, занимающихся во вторую смену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  <w:proofErr w:type="gramEnd"/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EE" w:rsidRDefault="00383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</w:tbl>
    <w:p w:rsidR="00FE0FEE" w:rsidRDefault="00383267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</w:rPr>
        <w:fldChar w:fldCharType="end"/>
      </w:r>
    </w:p>
    <w:p w:rsidR="00FE0FEE" w:rsidRDefault="00FE0FEE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  <w:sectPr w:rsidR="00FE0FEE">
          <w:headerReference w:type="default" r:id="rId9"/>
          <w:pgSz w:w="16838" w:h="11906" w:orient="landscape"/>
          <w:pgMar w:top="1135" w:right="1134" w:bottom="850" w:left="1134" w:header="708" w:footer="0" w:gutter="0"/>
          <w:cols w:space="720"/>
          <w:formProt w:val="0"/>
          <w:docGrid w:linePitch="360" w:charSpace="4096"/>
        </w:sectPr>
      </w:pPr>
    </w:p>
    <w:p w:rsidR="00FE0FEE" w:rsidRDefault="0038326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 прогнозу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городского округа Фрязино Московской области на 2025-2027годы.</w:t>
      </w:r>
    </w:p>
    <w:p w:rsidR="00FE0FEE" w:rsidRDefault="00FE0F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FEE" w:rsidRDefault="003832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Прогноз социально-экономического развития городского округа Фрязино на 2025-2027 годы разработан в соответствии с Бюджетным кодексом Российской Федерации, Федеральным законом от 28.06.2014 № 172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городского округа Фрязино от 15.02.2021 № 45/12 «О принятии Положения о бюджетном процессе в городском округе Фрязино Московской области».</w:t>
      </w:r>
    </w:p>
    <w:p w:rsidR="00FE0FEE" w:rsidRDefault="003832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разрабатывается ежегодно на очередной финансовый год и плановый период на основе анализа внешних и внутренних условий социально-экономического развития.</w:t>
      </w:r>
    </w:p>
    <w:p w:rsidR="00FE0FEE" w:rsidRDefault="003832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прогноза осуществлялась на базе статистических данных за 2022-2023 годы, итогов социально-экономического развития городского округа Фрязино за первое полугодие 2024 года, а также на основе сценарных условий функционирования экономики Российской Федерации, основных параметров прогноза социально-эконмического развития Российской Федерации и прогнозируемого изменения цен (тарифов) на товары, услуги хозяйствующих субъектов, осуществляющих регулируемые виды деятельности в инфраструктурном секторе, на 2025 год и на плановый период 2026 и 2027 годов. </w:t>
      </w:r>
    </w:p>
    <w:p w:rsidR="00FE0FEE" w:rsidRDefault="003832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разработан по двум вариантам: первый вариант прогноза соответствует консервативному варианту, второй вариант – базовому (основному) варианту. Базовый вариант прогноза принят за основу для разработки проекта бюджета городского округа Фрязино Московской области на 2025 год и на плановый период 2026 и 2027 годы.</w:t>
      </w:r>
    </w:p>
    <w:p w:rsidR="00FE0FEE" w:rsidRDefault="00FE0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FEE" w:rsidRDefault="003832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Демографические показатели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населения городского округа Фрязино по состоянию </w:t>
      </w:r>
      <w:r>
        <w:rPr>
          <w:color w:val="000000"/>
          <w:sz w:val="28"/>
          <w:szCs w:val="28"/>
        </w:rPr>
        <w:br/>
        <w:t xml:space="preserve">на 01 января 2024 составила 58677 человек. Демографической тенденцией последних лет является снижение численности постоянного населения городского округа Фрязино. Это связано с увеличением смертности и со снижением рождаемости в условиях нестабильной экономической ситуации. 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оценке на конец 2024 года численность населения городского округа Фрязино сократится до 57727 человек, при этом естественная убыль населения </w:t>
      </w:r>
      <w:r>
        <w:rPr>
          <w:color w:val="000000"/>
          <w:sz w:val="28"/>
          <w:szCs w:val="28"/>
        </w:rPr>
        <w:lastRenderedPageBreak/>
        <w:t xml:space="preserve">составит 486 человек, миграционная убыль населения оценивается на уровне 464 человек. 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Тенденция к уменьшению численности населения сохранится и в прогнозном периоде, темп снижения может замедлиться за счет уменьшения миграционной убыли населения. К концу 2027 года прогнозная численность постоянного населения составит 55295 человек.</w:t>
      </w:r>
    </w:p>
    <w:p w:rsidR="00FE0FEE" w:rsidRDefault="00FE0FEE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</w:p>
    <w:p w:rsidR="00FE0FEE" w:rsidRDefault="00383267">
      <w:pPr>
        <w:pStyle w:val="a9"/>
        <w:snapToGrid w:val="0"/>
        <w:spacing w:before="11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Промышленное производство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промышленным видам деятельности по крупным и средним предприятиям городского округа Фрязино в 2023 году составил 73 588,9 млн. руб. с темпом роста 118,8 % к уровню 2022 года.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оценке в 2024 году объем промышленного производства увеличится на 9,9% к уровню 2023 года и достигнет 80 874,2 млн. руб. Основу промышленного производства городского округа Фрязино составляет продукция АО «НПП «Исток им. </w:t>
      </w:r>
      <w:proofErr w:type="spellStart"/>
      <w:r>
        <w:rPr>
          <w:color w:val="000000"/>
          <w:sz w:val="28"/>
          <w:szCs w:val="28"/>
        </w:rPr>
        <w:t>Шокина</w:t>
      </w:r>
      <w:proofErr w:type="spellEnd"/>
      <w:r>
        <w:rPr>
          <w:color w:val="000000"/>
          <w:sz w:val="28"/>
          <w:szCs w:val="28"/>
        </w:rPr>
        <w:t>», АО «</w:t>
      </w:r>
      <w:proofErr w:type="spellStart"/>
      <w:r>
        <w:rPr>
          <w:color w:val="000000"/>
          <w:sz w:val="28"/>
          <w:szCs w:val="28"/>
        </w:rPr>
        <w:t>Газпромнефть</w:t>
      </w:r>
      <w:proofErr w:type="spellEnd"/>
      <w:r>
        <w:rPr>
          <w:color w:val="000000"/>
          <w:sz w:val="28"/>
          <w:szCs w:val="28"/>
        </w:rPr>
        <w:t xml:space="preserve"> МЗСМ», ООО «Май», ООО «</w:t>
      </w:r>
      <w:proofErr w:type="spellStart"/>
      <w:r>
        <w:rPr>
          <w:color w:val="000000"/>
          <w:sz w:val="28"/>
          <w:szCs w:val="28"/>
        </w:rPr>
        <w:t>Веза</w:t>
      </w:r>
      <w:proofErr w:type="spellEnd"/>
      <w:r>
        <w:rPr>
          <w:color w:val="000000"/>
          <w:sz w:val="28"/>
          <w:szCs w:val="28"/>
        </w:rPr>
        <w:t>», ООО НТО «ИРЭ-Полюс».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прогнозном периоде темп роста данного показателя составит 110,2-112,3% ежегодно. К 2027 году объем отгруженных товаров по промышленным видам деятельности достигнет 113 012,6 млн. руб. </w:t>
      </w:r>
    </w:p>
    <w:p w:rsidR="00FE0FEE" w:rsidRDefault="00FE0FEE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</w:p>
    <w:p w:rsidR="00FE0FEE" w:rsidRDefault="00383267">
      <w:pPr>
        <w:pStyle w:val="a9"/>
        <w:snapToGrid w:val="0"/>
        <w:spacing w:before="11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Малое и среднее предпринимательство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Число малых и средних предприятий, включая </w:t>
      </w:r>
      <w:proofErr w:type="spellStart"/>
      <w:r>
        <w:rPr>
          <w:color w:val="000000"/>
          <w:sz w:val="28"/>
          <w:szCs w:val="28"/>
        </w:rPr>
        <w:t>микропредприятия</w:t>
      </w:r>
      <w:proofErr w:type="spellEnd"/>
      <w:r>
        <w:rPr>
          <w:color w:val="000000"/>
          <w:sz w:val="28"/>
          <w:szCs w:val="28"/>
        </w:rPr>
        <w:t xml:space="preserve"> в 2023 году составило 841 единиц (в 2022году – 826 единиц). 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Стабилизация экономики Российской Федерации, высвобождение бизнес-ниш в связи с уходом иностранных производителей, активизация отечественного производства способствуют небольшому росту количества малых предприятий в прогнозном периоде. К концу 2027 года количество малых и средних предприятий увеличится до 866 единиц.</w:t>
      </w:r>
    </w:p>
    <w:p w:rsidR="00FE0FEE" w:rsidRDefault="00FE0FEE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</w:p>
    <w:p w:rsidR="00FE0FEE" w:rsidRDefault="00383267">
      <w:pPr>
        <w:pStyle w:val="a9"/>
        <w:snapToGrid w:val="0"/>
        <w:spacing w:before="11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Инвестиции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инвестиций в основной капитал за счет всех источников финансирования в 2023 году составил 8 059,63 млн. руб., по сравнению с 2022 годом произошло снижение на 4,9%. Основную долю объема инвестиций составляют инвестиции АО «НПП «Исток им. </w:t>
      </w:r>
      <w:proofErr w:type="spellStart"/>
      <w:r>
        <w:rPr>
          <w:color w:val="000000"/>
          <w:sz w:val="28"/>
          <w:szCs w:val="28"/>
        </w:rPr>
        <w:t>Шокина</w:t>
      </w:r>
      <w:proofErr w:type="spellEnd"/>
      <w:r>
        <w:rPr>
          <w:color w:val="000000"/>
          <w:sz w:val="28"/>
          <w:szCs w:val="28"/>
        </w:rPr>
        <w:t xml:space="preserve">», которое продолжает реализацию масштабного проекта по модернизации существующих и созданию новых производственных мощностей с привлечением федеральных средств в рамках государственной программы «Развитие оборонно-промышленного комплекса». 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прогнозном периоде ожидается незначительный рост объема инвестиций как за счет реализации действующих инвестиционных проектов, так и за счет новых инвестиционных проектов ООО «</w:t>
      </w:r>
      <w:proofErr w:type="spellStart"/>
      <w:r>
        <w:rPr>
          <w:color w:val="000000"/>
          <w:sz w:val="28"/>
          <w:szCs w:val="28"/>
        </w:rPr>
        <w:t>Веза</w:t>
      </w:r>
      <w:proofErr w:type="spellEnd"/>
      <w:r>
        <w:rPr>
          <w:color w:val="000000"/>
          <w:sz w:val="28"/>
          <w:szCs w:val="28"/>
        </w:rPr>
        <w:t>», ООО «Пластика окон», которые предусматривают строительство новых корпусов.</w:t>
      </w:r>
    </w:p>
    <w:p w:rsidR="00FE0FEE" w:rsidRDefault="00FE0FEE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</w:p>
    <w:p w:rsidR="00FE0FEE" w:rsidRDefault="00383267">
      <w:pPr>
        <w:pStyle w:val="a9"/>
        <w:snapToGrid w:val="0"/>
        <w:spacing w:before="11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Территория городского округа практически полностью застроена, строительство нового жилья может вестись только на застроенных территориях со сносом ветхого и аварийного фонда. 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жилищного строительства в отчетном и прогнозируемом периоде незначительный и состоит из индивидуальных жилых домов, поставленных на кадастровый учет в рамках проводимой дачной амнистии.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договора о развитии застроенных территорий в границах части 9 квартала в 2026 году будет введен в эксплуатацию 4-6 этажный многоквартирный жилой дом на 124 квартиры общей площадью жилых помещений 6,48 тыс.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 на улице Центральная. Застройщик ООО «Специализированный застройщик «Форт».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Жилищный фонд городского округа — это 1440 тыс. кв. метров общей площади. Общая площадь жилых помещений, приходящаяся в среднем на одного жителя в 2023 году составила 24,53 кв. метров, к 2027 году обеспеченность населения жильем составит 26,21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 на человека.</w:t>
      </w:r>
    </w:p>
    <w:p w:rsidR="00FE0FEE" w:rsidRDefault="00FE0FEE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</w:p>
    <w:p w:rsidR="00FE0FEE" w:rsidRDefault="00383267">
      <w:pPr>
        <w:pStyle w:val="a9"/>
        <w:snapToGrid w:val="0"/>
        <w:spacing w:before="11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и заработная плата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на крупных и средних предприятиях города было создано 926 новых рабочих мест. К концу 2024 года будет создано 810 рабочих мест. В прогнозном периоде ожидается увеличение рабочих мест на 534-706 единиц ежегодно. Основная доля созданных рабочих мест приходится на </w:t>
      </w:r>
      <w:r>
        <w:rPr>
          <w:color w:val="000000"/>
          <w:sz w:val="28"/>
          <w:szCs w:val="28"/>
        </w:rPr>
        <w:br/>
        <w:t xml:space="preserve">АО «НПП «Исток им. </w:t>
      </w:r>
      <w:proofErr w:type="spellStart"/>
      <w:r>
        <w:rPr>
          <w:color w:val="000000"/>
          <w:sz w:val="28"/>
          <w:szCs w:val="28"/>
        </w:rPr>
        <w:t>Шокина</w:t>
      </w:r>
      <w:proofErr w:type="spellEnd"/>
      <w:r>
        <w:rPr>
          <w:color w:val="000000"/>
          <w:sz w:val="28"/>
          <w:szCs w:val="28"/>
        </w:rPr>
        <w:t>».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официально зарегистрированных безработных на конец 2023 года составила 95 человек. На конец 2024 года ожидается снижение численности безработных до 40 человек. В прогнозном периоде будет наблюдаться дальнейшее снижение количества безработных граждан за счет проведения модернизации и расширения действующего производства крупных предприятий на территории городского округа Фрязино, развития малого бизнеса.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заработной платы всех работников в 2023 году составил 24720,9 млн. руб., что составило 107,8 % по отношению к 2022 году. В 2024 году рост фонда заработной платы составит 114,8% по отношению к предыдущему году и достигнет 28373,8 млн. руб. В прогнозном периоде фонд заработной платы будет расти ежегодно на 6,4-8,5% и к в 2027 году составит 34954,9 млн. руб.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2024 году ускорился темп роста фонда заработной платы как по Московской области (за 7 месяцев 2024 года темп роста составил 119,7% к соответствующему периоду прошлого года) так и по городскому округу Фрязино (за 6 месяцев 2024 года по крупным и средним предприятиям городского округа темп роста составил 116,5% к соответствующему периоду прошлого года).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драйвером роста фонда заработной платы являются крупные предприятия городского округа Фрязино, которые увеличивают количество рабочих мест, принимают меры по поддержанию заработной платы на достойном уровне. По итогам 6 месяцев 2024 года средняя заработная плата на крупных и средних предприятиях городского округа достигла </w:t>
      </w:r>
      <w:r>
        <w:rPr>
          <w:color w:val="000000"/>
          <w:sz w:val="28"/>
          <w:szCs w:val="28"/>
        </w:rPr>
        <w:br/>
        <w:t>117000,4 руб. (темп роста составил 114,4% к аналогичному периоду прошлого года). К концу 2024 года средняя заработная плата по полному кругу организаций достигнет 111986,5 руб., темп роста к 2023 году составит 112,6%.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прогнозном периоде темп роста средней заработной плата по полному кругу организаций составит 104,6-106,6%.</w:t>
      </w:r>
    </w:p>
    <w:p w:rsidR="00FE0FEE" w:rsidRDefault="00FE0FEE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</w:p>
    <w:p w:rsidR="00FE0FEE" w:rsidRDefault="00383267">
      <w:pPr>
        <w:pStyle w:val="a9"/>
        <w:snapToGrid w:val="0"/>
        <w:spacing w:before="11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Торговля и услуги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Компактный город полностью обеспечен объектами предприятий розничной торговли. В городском округе работают крупные сетевые предприятия торговли ТС «Пятерочка», ТС «Магнит», «ДА», «</w:t>
      </w:r>
      <w:proofErr w:type="spellStart"/>
      <w:r>
        <w:rPr>
          <w:color w:val="000000"/>
          <w:sz w:val="28"/>
          <w:szCs w:val="28"/>
        </w:rPr>
        <w:t>Дикси</w:t>
      </w:r>
      <w:proofErr w:type="spellEnd"/>
      <w:r>
        <w:rPr>
          <w:color w:val="000000"/>
          <w:sz w:val="28"/>
          <w:szCs w:val="28"/>
        </w:rPr>
        <w:t>», «Верный», «Ашан», «Красное и белое», «</w:t>
      </w:r>
      <w:r>
        <w:rPr>
          <w:color w:val="000000"/>
          <w:sz w:val="28"/>
          <w:szCs w:val="28"/>
          <w:lang w:val="en-US"/>
        </w:rPr>
        <w:t>DNS</w:t>
      </w:r>
      <w:r>
        <w:rPr>
          <w:color w:val="000000"/>
          <w:sz w:val="28"/>
          <w:szCs w:val="28"/>
        </w:rPr>
        <w:t xml:space="preserve">», «Эльдорадо», «Подружка», «Улыбка радуги» и др. Площадь торговых объектов предприятий розничной торговли на конец 2024 года составит 39,8 тыс.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 Ограниченность территории городского округа Фрязино, уменьшение численности населения не способствуют росту площадей торговых объектов. Незначительный рост торговых площадей происходит за счет перепрофилирования нежилых помещений в МКД и реконструкции торговых объектов.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Оборот розничной торговли по крупным и средним организациям в 2023 году составил 9130,6 млн. руб. К концу 2024 года оборот розничной торговли достигнет 10043,7 млн. руб., темп роста к прошлому году – 110,0%.</w:t>
      </w:r>
    </w:p>
    <w:p w:rsidR="00FE0FEE" w:rsidRDefault="00FE0FEE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</w:p>
    <w:p w:rsidR="00FE0FEE" w:rsidRDefault="00383267">
      <w:pPr>
        <w:pStyle w:val="a9"/>
        <w:snapToGrid w:val="0"/>
        <w:spacing w:before="11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Общеобразовательные услуги в городском округе Фрязино оказывают 7 учреждений - 5 школ с углубленным изучением отдельных предметов, МБОО «Гимназия» и МБОО «Лицей». Все учреждения соответствуют современным требованиям обучения. Общая численность обучающихся в школах - 7460 человек.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</w:t>
      </w:r>
      <w:proofErr w:type="spellStart"/>
      <w:r>
        <w:rPr>
          <w:color w:val="000000"/>
          <w:sz w:val="28"/>
          <w:szCs w:val="28"/>
        </w:rPr>
        <w:t>обучащихся</w:t>
      </w:r>
      <w:proofErr w:type="spellEnd"/>
      <w:r>
        <w:rPr>
          <w:color w:val="000000"/>
          <w:sz w:val="28"/>
          <w:szCs w:val="28"/>
        </w:rPr>
        <w:t xml:space="preserve">, занимающихся во вторую смену по итогам 2023 года составило 373 человек (в МБОО СОШ № 3 и МБОО «Лицей»), что составляет 5% от общей численности обучающихся. Ввод в действие нового </w:t>
      </w:r>
      <w:r>
        <w:rPr>
          <w:color w:val="000000"/>
          <w:sz w:val="28"/>
          <w:szCs w:val="28"/>
        </w:rPr>
        <w:lastRenderedPageBreak/>
        <w:t xml:space="preserve">здания МБОО СОШ №1 на ул. Барские пруды 15 увеличило количество учебных мест на 825 единиц. В связи с проведением капитального ремонта зданий МБОО СОШ №1 и МБОО СОШ №4 в 2023 году ликвидировать вторую смену полностью не удалось. 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году доля обучающихся, занимающихся во вторую смену, составила 10,2%, количество </w:t>
      </w:r>
      <w:proofErr w:type="spellStart"/>
      <w:r>
        <w:rPr>
          <w:color w:val="000000"/>
          <w:sz w:val="28"/>
          <w:szCs w:val="28"/>
        </w:rPr>
        <w:t>обучащихся</w:t>
      </w:r>
      <w:proofErr w:type="spellEnd"/>
      <w:r>
        <w:rPr>
          <w:color w:val="000000"/>
          <w:sz w:val="28"/>
          <w:szCs w:val="28"/>
        </w:rPr>
        <w:t xml:space="preserve"> во вторую смену увеличилось до 762 человек (МБОО СОШ № 3, МБОО «Лицей» и МБОО СОШ № 2).</w:t>
      </w: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 сентября 2023 года закончился ремонт в МБОО СОШ №4 и МБОО СОШ № 1 (корпус 1). На 2025 год запланирован капитальный ремонт основного здания МБОО «Гимназия» и МБОО СОШ № 5.</w:t>
      </w:r>
    </w:p>
    <w:p w:rsidR="00FE0FEE" w:rsidRDefault="00FE0FEE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</w:p>
    <w:p w:rsidR="00FE0FEE" w:rsidRDefault="00383267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прогнозируемые значения показателей социально-экономического развития городского округа Фрязино Московской области на 2025 - 2027 годы свидетельствуют о положительной динамике и дальнейшем развитии экономики и социальной сферы.</w:t>
      </w:r>
    </w:p>
    <w:p w:rsidR="00FE0FEE" w:rsidRDefault="00FE0FEE">
      <w:pPr>
        <w:pStyle w:val="a9"/>
        <w:snapToGrid w:val="0"/>
        <w:spacing w:before="113"/>
        <w:ind w:firstLine="708"/>
        <w:rPr>
          <w:color w:val="000000"/>
          <w:sz w:val="28"/>
          <w:szCs w:val="28"/>
        </w:rPr>
      </w:pPr>
    </w:p>
    <w:p w:rsidR="00FE0FEE" w:rsidRDefault="00FE0FEE">
      <w:pPr>
        <w:widowControl w:val="0"/>
        <w:tabs>
          <w:tab w:val="left" w:pos="1134"/>
          <w:tab w:val="left" w:pos="3544"/>
          <w:tab w:val="left" w:pos="4668"/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FE0FEE">
      <w:headerReference w:type="default" r:id="rId10"/>
      <w:footerReference w:type="default" r:id="rId11"/>
      <w:pgSz w:w="11906" w:h="16838"/>
      <w:pgMar w:top="1134" w:right="851" w:bottom="1134" w:left="1701" w:header="72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AE" w:rsidRDefault="006F15AE">
      <w:pPr>
        <w:spacing w:after="0" w:line="240" w:lineRule="auto"/>
      </w:pPr>
      <w:r>
        <w:separator/>
      </w:r>
    </w:p>
  </w:endnote>
  <w:endnote w:type="continuationSeparator" w:id="0">
    <w:p w:rsidR="006F15AE" w:rsidRDefault="006F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FEE" w:rsidRDefault="00FE0FE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AE" w:rsidRDefault="006F15AE">
      <w:pPr>
        <w:spacing w:after="0" w:line="240" w:lineRule="auto"/>
      </w:pPr>
      <w:r>
        <w:separator/>
      </w:r>
    </w:p>
  </w:footnote>
  <w:footnote w:type="continuationSeparator" w:id="0">
    <w:p w:rsidR="006F15AE" w:rsidRDefault="006F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269487"/>
      <w:docPartObj>
        <w:docPartGallery w:val="Page Numbers (Top of Page)"/>
        <w:docPartUnique/>
      </w:docPartObj>
    </w:sdtPr>
    <w:sdtEndPr/>
    <w:sdtContent>
      <w:p w:rsidR="00FE0FEE" w:rsidRDefault="00383267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52061">
          <w:rPr>
            <w:noProof/>
          </w:rPr>
          <w:t>3</w:t>
        </w:r>
        <w:r>
          <w:fldChar w:fldCharType="end"/>
        </w:r>
      </w:p>
      <w:p w:rsidR="00FE0FEE" w:rsidRDefault="006F15AE">
        <w:pPr>
          <w:pStyle w:val="af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27597"/>
      <w:docPartObj>
        <w:docPartGallery w:val="Page Numbers (Top of Page)"/>
        <w:docPartUnique/>
      </w:docPartObj>
    </w:sdtPr>
    <w:sdtEndPr/>
    <w:sdtContent>
      <w:p w:rsidR="00FE0FEE" w:rsidRDefault="00383267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52061">
          <w:rPr>
            <w:noProof/>
          </w:rPr>
          <w:t>8</w:t>
        </w:r>
        <w:r>
          <w:fldChar w:fldCharType="end"/>
        </w:r>
      </w:p>
      <w:p w:rsidR="00FE0FEE" w:rsidRDefault="006F15AE">
        <w:pPr>
          <w:pStyle w:val="af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C45F55"/>
    <w:multiLevelType w:val="multilevel"/>
    <w:tmpl w:val="EFBA6E8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C7660D"/>
    <w:multiLevelType w:val="multilevel"/>
    <w:tmpl w:val="A75E463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E"/>
    <w:rsid w:val="00246B96"/>
    <w:rsid w:val="00383267"/>
    <w:rsid w:val="00552061"/>
    <w:rsid w:val="006F15AE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66E7E-26DB-4E2A-8045-96DA9CE4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5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4235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4235F"/>
    <w:pPr>
      <w:keepNext/>
      <w:numPr>
        <w:ilvl w:val="2"/>
        <w:numId w:val="1"/>
      </w:numPr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B3508"/>
  </w:style>
  <w:style w:type="character" w:customStyle="1" w:styleId="a4">
    <w:name w:val="Нижний колонтитул Знак"/>
    <w:basedOn w:val="a0"/>
    <w:uiPriority w:val="99"/>
    <w:qFormat/>
    <w:rsid w:val="000B3508"/>
  </w:style>
  <w:style w:type="character" w:customStyle="1" w:styleId="a5">
    <w:name w:val="Текст выноски Знак"/>
    <w:basedOn w:val="a0"/>
    <w:uiPriority w:val="99"/>
    <w:semiHidden/>
    <w:qFormat/>
    <w:rsid w:val="00593C75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800D27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800D27"/>
    <w:rPr>
      <w:color w:val="800080"/>
      <w:u w:val="single"/>
    </w:rPr>
  </w:style>
  <w:style w:type="character" w:customStyle="1" w:styleId="10">
    <w:name w:val="Заголовок 1 Знак"/>
    <w:basedOn w:val="a0"/>
    <w:link w:val="1"/>
    <w:qFormat/>
    <w:rsid w:val="0024235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24235F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customStyle="1" w:styleId="a7">
    <w:name w:val="Основной текст Знак"/>
    <w:basedOn w:val="a0"/>
    <w:qFormat/>
    <w:rsid w:val="00D20DB6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20DB6"/>
    <w:pPr>
      <w:tabs>
        <w:tab w:val="left" w:pos="8788"/>
      </w:tabs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C5458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B350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0B350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593C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qFormat/>
    <w:rsid w:val="00800D27"/>
    <w:pPr>
      <w:pBdr>
        <w:bottom w:val="single" w:sz="4" w:space="0" w:color="808080"/>
      </w:pBdr>
      <w:spacing w:beforeAutospacing="1" w:afterAutospacing="1" w:line="240" w:lineRule="auto"/>
      <w:textAlignment w:val="top"/>
    </w:pPr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customStyle="1" w:styleId="xl66">
    <w:name w:val="xl66"/>
    <w:basedOn w:val="a"/>
    <w:qFormat/>
    <w:rsid w:val="00800D27"/>
    <w:pPr>
      <w:pBdr>
        <w:bottom w:val="single" w:sz="4" w:space="0" w:color="808080"/>
      </w:pBdr>
      <w:spacing w:beforeAutospacing="1" w:afterAutospacing="1" w:line="240" w:lineRule="auto"/>
      <w:textAlignment w:val="top"/>
    </w:pPr>
    <w:rPr>
      <w:rFonts w:ascii="Tahoma" w:eastAsia="Times New Roman" w:hAnsi="Tahoma" w:cs="Tahoma"/>
      <w:color w:val="333333"/>
      <w:sz w:val="28"/>
      <w:szCs w:val="28"/>
      <w:lang w:eastAsia="ru-RU"/>
    </w:rPr>
  </w:style>
  <w:style w:type="paragraph" w:customStyle="1" w:styleId="xl67">
    <w:name w:val="xl67"/>
    <w:basedOn w:val="a"/>
    <w:qFormat/>
    <w:rsid w:val="00800D2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qFormat/>
    <w:rsid w:val="00800D2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qFormat/>
    <w:rsid w:val="00800D27"/>
    <w:pPr>
      <w:pBdr>
        <w:top w:val="single" w:sz="4" w:space="0" w:color="808080"/>
        <w:left w:val="single" w:sz="4" w:space="18" w:color="808080"/>
        <w:bottom w:val="single" w:sz="4" w:space="0" w:color="808080"/>
        <w:right w:val="single" w:sz="4" w:space="0" w:color="808080"/>
      </w:pBdr>
      <w:spacing w:beforeAutospacing="1" w:afterAutospacing="1" w:line="240" w:lineRule="auto"/>
      <w:ind w:firstLine="2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qFormat/>
    <w:rsid w:val="00800D27"/>
    <w:pPr>
      <w:pBdr>
        <w:top w:val="single" w:sz="4" w:space="0" w:color="808080"/>
        <w:left w:val="single" w:sz="4" w:space="18" w:color="808080"/>
        <w:bottom w:val="single" w:sz="4" w:space="0" w:color="808080"/>
        <w:right w:val="single" w:sz="4" w:space="0" w:color="808080"/>
      </w:pBdr>
      <w:spacing w:beforeAutospacing="1" w:afterAutospacing="1" w:line="240" w:lineRule="auto"/>
      <w:ind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800D27"/>
    <w:pPr>
      <w:pBdr>
        <w:top w:val="single" w:sz="4" w:space="0" w:color="808080"/>
        <w:left w:val="single" w:sz="4" w:space="31" w:color="808080"/>
        <w:bottom w:val="single" w:sz="4" w:space="0" w:color="808080"/>
        <w:right w:val="single" w:sz="4" w:space="0" w:color="808080"/>
      </w:pBdr>
      <w:spacing w:beforeAutospacing="1" w:afterAutospacing="1" w:line="240" w:lineRule="auto"/>
      <w:ind w:firstLine="4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800D2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800D27"/>
    <w:pPr>
      <w:pBdr>
        <w:top w:val="single" w:sz="4" w:space="0" w:color="808080"/>
        <w:left w:val="single" w:sz="4" w:space="31" w:color="808080"/>
        <w:bottom w:val="single" w:sz="4" w:space="0" w:color="808080"/>
        <w:right w:val="single" w:sz="4" w:space="0" w:color="808080"/>
      </w:pBdr>
      <w:spacing w:beforeAutospacing="1" w:afterAutospacing="1" w:line="240" w:lineRule="auto"/>
      <w:ind w:firstLine="4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800D27"/>
    <w:pPr>
      <w:pBdr>
        <w:top w:val="single" w:sz="4" w:space="0" w:color="808080"/>
        <w:left w:val="single" w:sz="4" w:space="31" w:color="808080"/>
        <w:bottom w:val="single" w:sz="4" w:space="0" w:color="808080"/>
        <w:right w:val="single" w:sz="4" w:space="0" w:color="808080"/>
      </w:pBdr>
      <w:spacing w:beforeAutospacing="1" w:afterAutospacing="1" w:line="240" w:lineRule="auto"/>
      <w:ind w:firstLine="6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800D2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00D27"/>
    <w:pPr>
      <w:spacing w:beforeAutospacing="1" w:afterAutospacing="1" w:line="240" w:lineRule="auto"/>
      <w:textAlignment w:val="top"/>
    </w:pPr>
    <w:rPr>
      <w:rFonts w:ascii="Tahoma" w:eastAsia="Times New Roman" w:hAnsi="Tahoma" w:cs="Tahoma"/>
      <w:color w:val="33333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47CA-8075-4C8D-BF2A-9D33D1DC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5254</TotalTime>
  <Pages>8</Pages>
  <Words>2200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</dc:creator>
  <dc:description/>
  <cp:lastModifiedBy>SW Tech AIO</cp:lastModifiedBy>
  <cp:revision>54</cp:revision>
  <cp:lastPrinted>2024-10-10T16:55:00Z</cp:lastPrinted>
  <dcterms:created xsi:type="dcterms:W3CDTF">2020-09-29T09:44:00Z</dcterms:created>
  <dcterms:modified xsi:type="dcterms:W3CDTF">2024-10-14T09:07:00Z</dcterms:modified>
  <dc:language>ru-RU</dc:language>
</cp:coreProperties>
</file>