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rFonts w:ascii="Times New Roman" w:hAnsi="Times New Roman"/>
        </w:rPr>
        <w:t xml:space="preserve"> </w:t>
      </w:r>
      <w:r>
        <w:rPr>
          <w:rFonts w:ascii="Times New Roman" w:hAnsi="Times New Roman"/>
          <w:sz w:val="28"/>
          <w:szCs w:val="28"/>
        </w:rPr>
        <w:t xml:space="preserve">     </w:t>
      </w:r>
      <w:r>
        <w:rPr>
          <w:rFonts w:ascii="Times New Roman" w:hAnsi="Times New Roman"/>
          <w:sz w:val="28"/>
          <w:szCs w:val="28"/>
        </w:rPr>
        <w:t>ЗАКЛЮЧЕНИЕ</w:t>
      </w:r>
    </w:p>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Контрольно-счетной палаты городского округа Фрязино</w:t>
      </w:r>
    </w:p>
    <w:p>
      <w:pPr>
        <w:pStyle w:val="Normal"/>
        <w:jc w:val="center"/>
        <w:rPr>
          <w:rFonts w:ascii="Times New Roman" w:hAnsi="Times New Roman"/>
          <w:sz w:val="28"/>
          <w:szCs w:val="28"/>
        </w:rPr>
      </w:pPr>
      <w:r>
        <w:rPr>
          <w:rFonts w:ascii="Times New Roman" w:hAnsi="Times New Roman"/>
          <w:sz w:val="28"/>
          <w:szCs w:val="28"/>
        </w:rPr>
        <w:t>на проект решения Совета депутатов городского округа Фрязино</w:t>
      </w:r>
    </w:p>
    <w:p>
      <w:pPr>
        <w:pStyle w:val="Normal"/>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О внесении изменений в решение </w:t>
      </w:r>
      <w:r>
        <w:rPr>
          <w:rFonts w:ascii="Times New Roman" w:hAnsi="Times New Roman"/>
          <w:sz w:val="28"/>
          <w:szCs w:val="28"/>
        </w:rPr>
        <w:t xml:space="preserve"> Совета депутатов городского округа Фрязино </w:t>
      </w:r>
      <w:r>
        <w:rPr>
          <w:rFonts w:ascii="Times New Roman" w:hAnsi="Times New Roman"/>
          <w:sz w:val="28"/>
          <w:szCs w:val="28"/>
        </w:rPr>
        <w:t>от 22.06.2023 № 340/61 «</w:t>
      </w:r>
      <w:r>
        <w:rPr>
          <w:rFonts w:ascii="Times New Roman" w:hAnsi="Times New Roman"/>
          <w:sz w:val="28"/>
          <w:szCs w:val="28"/>
        </w:rPr>
        <w:t xml:space="preserve">Об утверждении </w:t>
      </w:r>
      <w:r>
        <w:rPr>
          <w:rStyle w:val="Fontstyle01"/>
          <w:rFonts w:cs="Times New Roman" w:ascii="Times New Roman" w:hAnsi="Times New Roman"/>
          <w:b w:val="false"/>
          <w:bCs w:val="false"/>
          <w:color w:val="000000"/>
          <w:sz w:val="28"/>
          <w:szCs w:val="28"/>
        </w:rPr>
        <w:t>Положени</w:t>
      </w:r>
      <w:r>
        <w:rPr>
          <w:rStyle w:val="Fontstyle01"/>
          <w:rFonts w:cs="Times New Roman" w:ascii="Times New Roman" w:hAnsi="Times New Roman"/>
          <w:b w:val="false"/>
          <w:bCs w:val="false"/>
          <w:color w:val="000000"/>
          <w:sz w:val="28"/>
          <w:szCs w:val="28"/>
        </w:rPr>
        <w:t>я</w:t>
      </w:r>
      <w:r>
        <w:rPr>
          <w:rStyle w:val="Fontstyle01"/>
          <w:rFonts w:cs="Times New Roman" w:ascii="Times New Roman" w:hAnsi="Times New Roman"/>
          <w:b w:val="false"/>
          <w:bCs w:val="false"/>
          <w:color w:val="000000"/>
          <w:sz w:val="28"/>
          <w:szCs w:val="28"/>
        </w:rPr>
        <w:t xml:space="preserve"> об управлении и распоряжении земельными участками, находящимися в муниципальной собственности городского округа Фрязино Московской области</w:t>
      </w:r>
      <w:r>
        <w:rPr>
          <w:rFonts w:ascii="Times New Roman" w:hAnsi="Times New Roman"/>
          <w:b w:val="false"/>
          <w:bCs w:val="false"/>
          <w:sz w:val="28"/>
          <w:szCs w:val="28"/>
        </w:rPr>
        <w:t>»</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spacing w:before="0" w:after="113"/>
        <w:jc w:val="both"/>
        <w:rPr>
          <w:rFonts w:ascii="Times New Roman" w:hAnsi="Times New Roman"/>
          <w:sz w:val="28"/>
          <w:szCs w:val="28"/>
        </w:rPr>
      </w:pPr>
      <w:r>
        <w:rPr>
          <w:rFonts w:ascii="Times New Roman" w:hAnsi="Times New Roman"/>
          <w:sz w:val="28"/>
          <w:szCs w:val="28"/>
        </w:rPr>
        <w:t>1. Заключение Контрольно-счетной палаты подготовлено в со</w:t>
        <w:softHyphen/>
        <w:t>ответствии со статьей 157 Бюджетного кодекса РФ, статьями 9, 10 Федераль</w:t>
        <w:softHyphen/>
        <w:t>ного закона от 07.02.2011 № 6-ФЗ «Об общих принципах организа</w:t>
        <w:softHyphen/>
        <w:t>ции дея</w:t>
        <w:softHyphen/>
        <w:t>тельности контрольно-счетных органов субъектов Российской Феде</w:t>
        <w:softHyphen/>
        <w:t>рации и муниципальных образований», статьей  9 Положения «О Контрольно-счет</w:t>
        <w:softHyphen/>
        <w:t>ной палате городского округа Фрязино», утвержденного решением Совета депутатов г.</w:t>
      </w:r>
      <w:r>
        <w:rPr>
          <w:rFonts w:ascii="Times New Roman" w:hAnsi="Times New Roman"/>
          <w:sz w:val="28"/>
          <w:szCs w:val="28"/>
        </w:rPr>
        <w:t>о.</w:t>
      </w:r>
      <w:r>
        <w:rPr>
          <w:rFonts w:ascii="Times New Roman" w:hAnsi="Times New Roman"/>
          <w:sz w:val="28"/>
          <w:szCs w:val="28"/>
        </w:rPr>
        <w:t xml:space="preserve"> Фря</w:t>
        <w:softHyphen/>
        <w:t>зино от 15.10.2021 № 105/24.</w:t>
      </w:r>
    </w:p>
    <w:p>
      <w:pPr>
        <w:pStyle w:val="Normal"/>
        <w:spacing w:before="0" w:after="113"/>
        <w:jc w:val="both"/>
        <w:rPr/>
      </w:pPr>
      <w:r>
        <w:rPr>
          <w:rFonts w:ascii="Times New Roman" w:hAnsi="Times New Roman"/>
          <w:sz w:val="28"/>
          <w:szCs w:val="28"/>
        </w:rPr>
        <w:t xml:space="preserve">2.  Проект </w:t>
      </w:r>
      <w:r>
        <w:rPr>
          <w:rFonts w:ascii="Times New Roman" w:hAnsi="Times New Roman"/>
          <w:sz w:val="28"/>
          <w:szCs w:val="28"/>
        </w:rPr>
        <w:t>решения Совета депутатов г.</w:t>
      </w:r>
      <w:r>
        <w:rPr>
          <w:rFonts w:ascii="Times New Roman" w:hAnsi="Times New Roman"/>
          <w:sz w:val="28"/>
          <w:szCs w:val="28"/>
        </w:rPr>
        <w:t>о.</w:t>
      </w:r>
      <w:r>
        <w:rPr>
          <w:rFonts w:ascii="Times New Roman" w:hAnsi="Times New Roman"/>
          <w:sz w:val="28"/>
          <w:szCs w:val="28"/>
        </w:rPr>
        <w:t xml:space="preserve"> Фря</w:t>
        <w:softHyphen/>
        <w:t>зино «</w:t>
      </w:r>
      <w:r>
        <w:rPr>
          <w:rFonts w:ascii="Times New Roman" w:hAnsi="Times New Roman"/>
          <w:sz w:val="28"/>
          <w:szCs w:val="28"/>
        </w:rPr>
        <w:t xml:space="preserve">О внесении изменений в решение </w:t>
      </w:r>
      <w:r>
        <w:rPr>
          <w:rFonts w:ascii="Times New Roman" w:hAnsi="Times New Roman"/>
          <w:sz w:val="28"/>
          <w:szCs w:val="28"/>
        </w:rPr>
        <w:t xml:space="preserve"> Совета депутатов городского округа Фрязино </w:t>
      </w:r>
      <w:r>
        <w:rPr>
          <w:rFonts w:ascii="Times New Roman" w:hAnsi="Times New Roman"/>
          <w:sz w:val="28"/>
          <w:szCs w:val="28"/>
        </w:rPr>
        <w:t>от 22.06.2023 № 340/61 «</w:t>
      </w:r>
      <w:r>
        <w:rPr>
          <w:rFonts w:ascii="Times New Roman" w:hAnsi="Times New Roman"/>
          <w:sz w:val="28"/>
          <w:szCs w:val="28"/>
        </w:rPr>
        <w:t xml:space="preserve">Об утверждении </w:t>
      </w:r>
      <w:r>
        <w:rPr>
          <w:rStyle w:val="Fontstyle01"/>
          <w:rFonts w:cs="Times New Roman" w:ascii="Times New Roman" w:hAnsi="Times New Roman"/>
          <w:b w:val="false"/>
          <w:bCs w:val="false"/>
          <w:color w:val="000000"/>
          <w:sz w:val="28"/>
          <w:szCs w:val="28"/>
        </w:rPr>
        <w:t>Положени</w:t>
      </w:r>
      <w:r>
        <w:rPr>
          <w:rStyle w:val="Fontstyle01"/>
          <w:rFonts w:cs="Times New Roman" w:ascii="Times New Roman" w:hAnsi="Times New Roman"/>
          <w:b w:val="false"/>
          <w:bCs w:val="false"/>
          <w:color w:val="000000"/>
          <w:sz w:val="28"/>
          <w:szCs w:val="28"/>
        </w:rPr>
        <w:t>я</w:t>
      </w:r>
      <w:r>
        <w:rPr>
          <w:rStyle w:val="Fontstyle01"/>
          <w:rFonts w:cs="Times New Roman" w:ascii="Times New Roman" w:hAnsi="Times New Roman"/>
          <w:b w:val="false"/>
          <w:bCs w:val="false"/>
          <w:color w:val="000000"/>
          <w:sz w:val="28"/>
          <w:szCs w:val="28"/>
        </w:rPr>
        <w:t xml:space="preserve"> об управлении и распоряжении земельными участками, находящимися в муниципальной собственности городского округа Фрязино Московской области</w:t>
      </w:r>
      <w:r>
        <w:rPr>
          <w:rFonts w:ascii="Times New Roman" w:hAnsi="Times New Roman"/>
          <w:b w:val="false"/>
          <w:bCs w:val="false"/>
          <w:sz w:val="28"/>
          <w:szCs w:val="28"/>
        </w:rPr>
        <w:t xml:space="preserve">» </w:t>
      </w:r>
      <w:r>
        <w:rPr>
          <w:rFonts w:ascii="Times New Roman" w:hAnsi="Times New Roman"/>
          <w:b w:val="false"/>
          <w:bCs w:val="false"/>
          <w:sz w:val="28"/>
          <w:szCs w:val="28"/>
        </w:rPr>
        <w:t>(далее — проект решения, Положение) подготовлен во исполнение</w:t>
      </w:r>
      <w:r>
        <w:rPr>
          <w:rFonts w:ascii="Times New Roman" w:hAnsi="Times New Roman"/>
          <w:b w:val="false"/>
          <w:bCs w:val="false"/>
        </w:rPr>
        <w:t xml:space="preserve"> </w:t>
      </w:r>
      <w:r>
        <w:rPr>
          <w:rFonts w:ascii="Times New Roman" w:hAnsi="Times New Roman"/>
          <w:b w:val="false"/>
          <w:i w:val="false"/>
          <w:color w:val="000000"/>
          <w:sz w:val="28"/>
        </w:rPr>
        <w:t>постановлени</w:t>
      </w:r>
      <w:r>
        <w:rPr>
          <w:rFonts w:ascii="Times New Roman" w:hAnsi="Times New Roman"/>
          <w:b w:val="false"/>
          <w:i w:val="false"/>
          <w:color w:val="000000"/>
          <w:sz w:val="28"/>
        </w:rPr>
        <w:t>я</w:t>
      </w:r>
      <w:r>
        <w:rPr>
          <w:rFonts w:ascii="Times New Roman" w:hAnsi="Times New Roman"/>
          <w:b w:val="false"/>
          <w:i w:val="false"/>
          <w:color w:val="000000"/>
          <w:sz w:val="28"/>
        </w:rPr>
        <w:t xml:space="preserve"> Правительства Московской области от 14.04.2025 № 373-ПП «О внесении изменений в постановление Правительства Московской области от 02.05.2012 № 639/16 «Об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собственникам зданий, сооружений либо помещений в них, расположенных на таких земельных </w:t>
      </w:r>
      <w:r>
        <w:rPr>
          <w:rFonts w:ascii="Times New Roman" w:hAnsi="Times New Roman"/>
          <w:b w:val="false"/>
          <w:i w:val="false"/>
          <w:color w:val="000000"/>
          <w:sz w:val="28"/>
          <w:szCs w:val="28"/>
        </w:rPr>
        <w:t xml:space="preserve">участках» </w:t>
      </w:r>
      <w:r>
        <w:rPr>
          <w:rFonts w:ascii="Times New Roman" w:hAnsi="Times New Roman"/>
          <w:b w:val="false"/>
          <w:i w:val="false"/>
          <w:color w:val="000000"/>
          <w:sz w:val="28"/>
          <w:szCs w:val="28"/>
        </w:rPr>
        <w:t>и в соответствии с письмом Вице-губернатора Московской области В.А. Локтева (от 20.06.2025 № ИСХ-5463/01).</w:t>
      </w:r>
    </w:p>
    <w:p>
      <w:pPr>
        <w:pStyle w:val="Normal"/>
        <w:spacing w:before="0" w:after="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Проектом решения вносятся изменения в пункт 3.5 Положения, который излагается в следующей редакции:</w:t>
      </w:r>
    </w:p>
    <w:p>
      <w:pPr>
        <w:pStyle w:val="Normal"/>
        <w:spacing w:before="0"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3.5. </w:t>
      </w:r>
      <w:r>
        <w:rPr>
          <w:rFonts w:ascii="Times New Roman" w:hAnsi="Times New Roman"/>
          <w:sz w:val="28"/>
          <w:szCs w:val="28"/>
        </w:rPr>
        <w:t xml:space="preserve"> </w:t>
      </w:r>
      <w:r>
        <w:rPr>
          <w:rFonts w:ascii="Times New Roman" w:hAnsi="Times New Roman"/>
          <w:b w:val="false"/>
          <w:i w:val="false"/>
          <w:color w:val="000000"/>
          <w:sz w:val="28"/>
          <w:szCs w:val="28"/>
        </w:rPr>
        <w:t>Цена продажи земельных участков гражданам и юридическим лицам, имеющим в собственности здания, сооружения, расположенные на таких земельных участках, устанавливается в размере, равном:</w:t>
      </w:r>
    </w:p>
    <w:p>
      <w:pPr>
        <w:pStyle w:val="Normal"/>
        <w:spacing w:before="0" w:after="0"/>
        <w:jc w:val="both"/>
        <w:rPr>
          <w:rFonts w:ascii="Times New Roman" w:hAnsi="Times New Roman"/>
          <w:b w:val="false"/>
          <w:b w:val="false"/>
          <w:i w:val="false"/>
          <w:i w:val="false"/>
          <w:color w:val="000000"/>
          <w:sz w:val="28"/>
          <w:szCs w:val="28"/>
        </w:rPr>
      </w:pPr>
      <w:r>
        <w:rPr>
          <w:rFonts w:ascii="Times New Roman" w:hAnsi="Times New Roman"/>
          <w:b w:val="false"/>
          <w:i w:val="false"/>
          <w:color w:val="000000"/>
          <w:sz w:val="28"/>
          <w:szCs w:val="28"/>
        </w:rPr>
        <w:t>1) двум с половиной процентам кадастровой стоимости земельного участка, в случаях, установленных пунктом 2.2 статьи 3 Федерального закона 25.10.2001 года № 137-ФЗ «О введении в действие Земельного кодекса Российской Федерации»;</w:t>
      </w:r>
    </w:p>
    <w:p>
      <w:pPr>
        <w:pStyle w:val="Normal"/>
        <w:spacing w:before="0" w:after="0"/>
        <w:jc w:val="both"/>
        <w:rPr>
          <w:rFonts w:ascii="Times New Roman" w:hAnsi="Times New Roman"/>
          <w:sz w:val="28"/>
          <w:szCs w:val="28"/>
        </w:rPr>
      </w:pPr>
      <w:r>
        <w:rPr>
          <w:rFonts w:ascii="Times New Roman" w:hAnsi="Times New Roman"/>
          <w:b w:val="false"/>
          <w:i w:val="false"/>
          <w:color w:val="000000"/>
          <w:sz w:val="28"/>
          <w:szCs w:val="28"/>
        </w:rPr>
        <w:t xml:space="preserve">2) </w:t>
      </w:r>
      <w:r>
        <w:rPr>
          <w:rFonts w:ascii="Times New Roman" w:hAnsi="Times New Roman"/>
          <w:b w:val="false"/>
          <w:i w:val="false"/>
          <w:color w:val="000000"/>
          <w:sz w:val="28"/>
          <w:szCs w:val="28"/>
        </w:rPr>
        <w:t xml:space="preserve">до 1 января 2026 года - </w:t>
      </w:r>
      <w:r>
        <w:rPr>
          <w:rFonts w:ascii="Times New Roman" w:hAnsi="Times New Roman"/>
          <w:b w:val="false"/>
          <w:i w:val="false"/>
          <w:color w:val="000000"/>
          <w:sz w:val="28"/>
          <w:szCs w:val="28"/>
        </w:rPr>
        <w:t>трем 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дачного хозяйства, садоводства, личного подсобного хозяйства, гаражного строительства (включая индивидуальное гаражное строительство);</w:t>
      </w:r>
    </w:p>
    <w:p>
      <w:pPr>
        <w:pStyle w:val="Normal"/>
        <w:spacing w:before="0" w:after="0"/>
        <w:jc w:val="both"/>
        <w:rPr>
          <w:rFonts w:ascii="Times New Roman" w:hAnsi="Times New Roman"/>
          <w:b w:val="false"/>
          <w:b w:val="false"/>
          <w:i w:val="false"/>
          <w:i w:val="false"/>
          <w:color w:val="000000"/>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с 1 января 2026 года — шестидесяти 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дачного хозяйства, садоводства, личного подсобного хозяйства, гаражного строительства (включая индивидуальное гаражное строительство);</w:t>
      </w:r>
    </w:p>
    <w:p>
      <w:pPr>
        <w:pStyle w:val="Normal"/>
        <w:spacing w:before="0" w:after="57"/>
        <w:jc w:val="both"/>
        <w:rPr>
          <w:rFonts w:ascii="Times New Roman" w:hAnsi="Times New Roman"/>
          <w:sz w:val="28"/>
          <w:szCs w:val="28"/>
        </w:rPr>
      </w:pPr>
      <w:r>
        <w:rPr>
          <w:rFonts w:ascii="Times New Roman" w:hAnsi="Times New Roman"/>
          <w:b w:val="false"/>
          <w:i w:val="false"/>
          <w:color w:val="000000"/>
          <w:sz w:val="28"/>
          <w:szCs w:val="28"/>
        </w:rPr>
        <w:t xml:space="preserve">3) пятнадцати процентам кадастровой стоимости земельного участка в </w:t>
      </w:r>
      <w:r>
        <w:rPr>
          <w:rFonts w:ascii="Times New Roman" w:hAnsi="Times New Roman"/>
          <w:b w:val="false"/>
          <w:i w:val="false"/>
          <w:color w:val="000000"/>
          <w:sz w:val="28"/>
          <w:szCs w:val="28"/>
        </w:rPr>
        <w:t xml:space="preserve">отношении прочих земельных участков. </w:t>
      </w:r>
    </w:p>
    <w:p>
      <w:pPr>
        <w:pStyle w:val="Normal"/>
        <w:spacing w:lineRule="auto" w:line="240" w:before="0" w:after="57"/>
        <w:jc w:val="both"/>
        <w:rPr>
          <w:rFonts w:ascii="Times New Roman" w:hAnsi="Times New Roman" w:cs="Times New Roman"/>
          <w:b w:val="false"/>
          <w:b w:val="false"/>
          <w:bCs w:val="false"/>
          <w:sz w:val="28"/>
          <w:szCs w:val="28"/>
          <w:u w:val="none"/>
          <w:lang w:val="ru-RU"/>
        </w:rPr>
      </w:pPr>
      <w:r>
        <w:rPr>
          <w:rStyle w:val="Fontstyle21"/>
          <w:rFonts w:cs="Times New Roman" w:ascii="Times New Roman" w:hAnsi="Times New Roman"/>
          <w:color w:val="000000"/>
          <w:u w:val="none"/>
          <w:lang w:val="ru-RU"/>
        </w:rPr>
        <w:t xml:space="preserve">      </w:t>
      </w:r>
      <w:r>
        <w:rPr>
          <w:rStyle w:val="Fontstyle21"/>
          <w:rFonts w:cs="Times New Roman" w:ascii="Times New Roman" w:hAnsi="Times New Roman"/>
          <w:color w:val="000000"/>
          <w:u w:val="none"/>
          <w:lang w:val="ru-RU"/>
        </w:rPr>
        <w:t>Предусмотреть отлагательный период:</w:t>
      </w:r>
    </w:p>
    <w:p>
      <w:pPr>
        <w:pStyle w:val="Normal"/>
        <w:spacing w:lineRule="auto" w:line="240" w:before="0" w:after="113"/>
        <w:jc w:val="both"/>
        <w:rPr>
          <w:rFonts w:ascii="Times New Roman" w:hAnsi="Times New Roman" w:cs="Times New Roman"/>
          <w:b w:val="false"/>
          <w:b w:val="false"/>
          <w:bCs w:val="false"/>
          <w:sz w:val="28"/>
          <w:szCs w:val="28"/>
          <w:u w:val="none"/>
          <w:lang w:val="ru-RU"/>
        </w:rPr>
      </w:pPr>
      <w:r>
        <w:rPr>
          <w:rStyle w:val="Fontstyle21"/>
          <w:rFonts w:cs="Times New Roman" w:ascii="Times New Roman" w:hAnsi="Times New Roman"/>
          <w:color w:val="000000"/>
          <w:u w:val="none"/>
          <w:lang w:val="ru-RU"/>
        </w:rPr>
        <w:t xml:space="preserve">    </w:t>
      </w:r>
      <w:r>
        <w:rPr>
          <w:rStyle w:val="Fontstyle21"/>
          <w:rFonts w:cs="Times New Roman" w:ascii="Times New Roman" w:hAnsi="Times New Roman"/>
          <w:color w:val="000000"/>
          <w:u w:val="none"/>
          <w:lang w:val="ru-RU"/>
        </w:rPr>
        <w:t xml:space="preserve">До 1 января 2027 года собственники зданий, сооружений либо помещений в них, расположенных на </w:t>
      </w:r>
      <w:r>
        <w:rPr>
          <w:rStyle w:val="Fontstyle21"/>
          <w:rFonts w:cs="Times New Roman" w:ascii="Times New Roman" w:hAnsi="Times New Roman"/>
          <w:b w:val="false"/>
          <w:i w:val="false"/>
          <w:color w:val="000000"/>
          <w:sz w:val="28"/>
          <w:szCs w:val="28"/>
          <w:u w:val="none"/>
          <w:lang w:val="ru-RU"/>
        </w:rPr>
        <w:t>земельных участках вне зависимости от категории земель с разрешенным использованием для жилищного строительства (включая индивидуальное жилищное строительство), ведения дачного хозяйства, садоводства, личного подсобного хозяйства,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 а также в случае, если земельный участок образован из земельного участка, договор аренды в отношении которого  заключен до 1 января 2026 года.</w:t>
      </w:r>
    </w:p>
    <w:p>
      <w:pPr>
        <w:pStyle w:val="Normal"/>
        <w:spacing w:lineRule="auto" w:line="240" w:before="0" w:after="113"/>
        <w:jc w:val="both"/>
        <w:rPr>
          <w:rFonts w:ascii="Times New Roman" w:hAnsi="Times New Roman" w:cs="Times New Roman"/>
          <w:b w:val="false"/>
          <w:b w:val="false"/>
          <w:bCs w:val="false"/>
          <w:sz w:val="28"/>
          <w:szCs w:val="28"/>
          <w:u w:val="none"/>
          <w:lang w:val="ru-RU"/>
        </w:rPr>
      </w:pPr>
      <w:r>
        <w:rPr>
          <w:rStyle w:val="Fontstyle21"/>
          <w:rFonts w:cs="Times New Roman" w:ascii="Times New Roman" w:hAnsi="Times New Roman"/>
          <w:color w:val="000000"/>
          <w:u w:val="none"/>
          <w:lang w:val="ru-RU"/>
        </w:rPr>
        <w:t xml:space="preserve">  </w:t>
      </w:r>
      <w:r>
        <w:rPr>
          <w:rStyle w:val="Fontstyle21"/>
          <w:rFonts w:cs="Times New Roman" w:ascii="Times New Roman" w:hAnsi="Times New Roman"/>
          <w:color w:val="000000"/>
          <w:u w:val="none"/>
          <w:lang w:val="ru-RU"/>
        </w:rPr>
        <w:t xml:space="preserve">До 1 января 2029 года собственники зданий, сооружений либо помещений в них, расположенных на </w:t>
      </w:r>
      <w:r>
        <w:rPr>
          <w:rStyle w:val="Fontstyle21"/>
          <w:rFonts w:cs="Times New Roman" w:ascii="Times New Roman" w:hAnsi="Times New Roman"/>
          <w:b w:val="false"/>
          <w:i w:val="false"/>
          <w:color w:val="000000"/>
          <w:sz w:val="28"/>
          <w:szCs w:val="28"/>
          <w:u w:val="none"/>
          <w:lang w:val="ru-RU"/>
        </w:rPr>
        <w:t>земельном участке, если договор аренды земельного участка заключен в отношении земельного участка, образованного из земельного участка, предоставленного садоводческому коммерческому товариществу (далее — СНТ) в безвозмездное пользование,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w:t>
      </w:r>
    </w:p>
    <w:p>
      <w:pPr>
        <w:pStyle w:val="Normal"/>
        <w:spacing w:lineRule="auto" w:line="240" w:before="0" w:after="113"/>
        <w:jc w:val="both"/>
        <w:rPr>
          <w:rFonts w:ascii="Times New Roman" w:hAnsi="Times New Roman" w:cs="Times New Roman"/>
          <w:b w:val="false"/>
          <w:b w:val="false"/>
          <w:bCs w:val="false"/>
          <w:sz w:val="28"/>
          <w:szCs w:val="28"/>
          <w:u w:val="none"/>
          <w:lang w:val="ru-RU"/>
        </w:rPr>
      </w:pPr>
      <w:r>
        <w:rPr>
          <w:rStyle w:val="Fontstyle21"/>
          <w:rFonts w:cs="Times New Roman" w:ascii="Times New Roman" w:hAnsi="Times New Roman"/>
          <w:color w:val="000000"/>
          <w:u w:val="none"/>
          <w:lang w:val="ru-RU"/>
        </w:rPr>
        <w:t xml:space="preserve">     </w:t>
      </w:r>
      <w:r>
        <w:rPr>
          <w:rStyle w:val="Fontstyle21"/>
          <w:rFonts w:cs="Times New Roman" w:ascii="Times New Roman" w:hAnsi="Times New Roman"/>
          <w:color w:val="000000"/>
          <w:u w:val="none"/>
          <w:lang w:val="ru-RU"/>
        </w:rPr>
        <w:t xml:space="preserve">Собственники зданий, сооружений либо помещений в них, расположенных на </w:t>
      </w:r>
      <w:r>
        <w:rPr>
          <w:rStyle w:val="Fontstyle21"/>
          <w:rFonts w:cs="Times New Roman" w:ascii="Times New Roman" w:hAnsi="Times New Roman"/>
          <w:b w:val="false"/>
          <w:i w:val="false"/>
          <w:color w:val="000000"/>
          <w:sz w:val="28"/>
          <w:szCs w:val="28"/>
          <w:u w:val="none"/>
          <w:lang w:val="ru-RU"/>
        </w:rPr>
        <w:t>земельном участке, если договор аренды земельного участка заключен в отношении земельного участка, образованного из земельного участка, предоставленного СНТ в безвозмездное пользование,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после 1 января 2026 года».</w:t>
      </w:r>
    </w:p>
    <w:p>
      <w:pPr>
        <w:pStyle w:val="Normal"/>
        <w:spacing w:lineRule="auto" w:line="240" w:before="0" w:after="113"/>
        <w:jc w:val="both"/>
        <w:rPr>
          <w:rFonts w:ascii="Times New Roman" w:hAnsi="Times New Roman" w:cs="Times New Roman"/>
          <w:b w:val="false"/>
          <w:b w:val="false"/>
          <w:bCs w:val="false"/>
          <w:sz w:val="28"/>
          <w:szCs w:val="28"/>
          <w:u w:val="none"/>
          <w:lang w:val="ru-RU"/>
        </w:rPr>
      </w:pPr>
      <w:r>
        <w:rPr>
          <w:rStyle w:val="Fontstyle21"/>
          <w:rFonts w:cs="Times New Roman" w:ascii="Times New Roman" w:hAnsi="Times New Roman"/>
          <w:color w:val="000000"/>
          <w:u w:val="none"/>
          <w:lang w:val="ru-RU"/>
        </w:rPr>
        <w:t>4</w:t>
      </w:r>
      <w:r>
        <w:rPr>
          <w:rStyle w:val="Fontstyle21"/>
          <w:rFonts w:cs="Times New Roman" w:ascii="Times New Roman" w:hAnsi="Times New Roman"/>
          <w:color w:val="000000"/>
          <w:u w:val="none"/>
          <w:lang w:val="ru-RU"/>
        </w:rPr>
        <w:t>. Замечаний к проекту решения нет.</w:t>
      </w:r>
    </w:p>
    <w:p>
      <w:pPr>
        <w:pStyle w:val="Normal"/>
        <w:spacing w:lineRule="auto" w:line="240" w:before="0" w:after="0"/>
        <w:jc w:val="both"/>
        <w:rPr>
          <w:rStyle w:val="Fontstyle21"/>
          <w:rFonts w:ascii="Times New Roman" w:hAnsi="Times New Roman"/>
          <w:color w:val="000000"/>
        </w:rPr>
      </w:pPr>
      <w:r>
        <w:rPr>
          <w:rFonts w:cs="Times New Roman" w:ascii="Times New Roman" w:hAnsi="Times New Roman"/>
          <w:b w:val="false"/>
          <w:bCs w:val="false"/>
          <w:sz w:val="28"/>
          <w:szCs w:val="28"/>
          <w:u w:val="none"/>
          <w:lang w:val="ru-RU"/>
        </w:rPr>
      </w:r>
    </w:p>
    <w:p>
      <w:pPr>
        <w:pStyle w:val="Normal"/>
        <w:spacing w:before="0" w:after="113"/>
        <w:jc w:val="both"/>
        <w:rPr>
          <w:rFonts w:ascii="Times New Roman" w:hAnsi="Times New Roman" w:cs="Times New Roman"/>
          <w:b w:val="false"/>
          <w:b w:val="false"/>
          <w:bCs w:val="false"/>
          <w:sz w:val="28"/>
          <w:szCs w:val="28"/>
          <w:u w:val="none"/>
          <w:lang w:val="ru-RU"/>
        </w:rPr>
      </w:pPr>
      <w:r>
        <w:rPr>
          <w:rFonts w:cs="Times New Roman" w:ascii="Times New Roman" w:hAnsi="Times New Roman"/>
          <w:b w:val="false"/>
          <w:bCs w:val="false"/>
          <w:sz w:val="28"/>
          <w:szCs w:val="28"/>
          <w:u w:val="none"/>
          <w:lang w:val="ru-RU"/>
        </w:rPr>
        <w:t>Председатель Контрольно-счетной палаты                              Л.А. Панченко</w:t>
      </w:r>
    </w:p>
    <w:p>
      <w:pPr>
        <w:pStyle w:val="Normal"/>
        <w:spacing w:before="0" w:after="113"/>
        <w:jc w:val="both"/>
        <w:rPr>
          <w:rFonts w:ascii="Times New Roman" w:hAnsi="Times New Roman" w:cs="Times New Roman"/>
          <w:b w:val="false"/>
          <w:b w:val="false"/>
          <w:bCs w:val="false"/>
          <w:sz w:val="28"/>
          <w:szCs w:val="28"/>
          <w:u w:val="none"/>
          <w:lang w:val="ru-RU"/>
        </w:rPr>
      </w:pPr>
      <w:r>
        <w:rPr>
          <w:rFonts w:cs="Times New Roman" w:ascii="Times New Roman" w:hAnsi="Times New Roman"/>
          <w:b w:val="false"/>
          <w:bCs w:val="false"/>
          <w:sz w:val="28"/>
          <w:szCs w:val="28"/>
          <w:u w:val="none"/>
          <w:lang w:val="ru-RU"/>
        </w:rPr>
        <w:t xml:space="preserve">                                                                                                     </w:t>
      </w:r>
    </w:p>
    <w:sectPr>
      <w:headerReference w:type="default" r:id="rId2"/>
      <w:type w:val="nextPage"/>
      <w:pgSz w:w="11906" w:h="16838"/>
      <w:pgMar w:left="1320" w:right="716" w:gutter="0" w:header="1134" w:top="1693"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NewRomanPS-BoldMT">
    <w:charset w:val="cc"/>
    <w:family w:val="roman"/>
    <w:pitch w:val="variable"/>
  </w:font>
  <w:font w:name="TimesNewRomanPSMT">
    <w:charset w:val="cc"/>
    <w:family w:val="roman"/>
    <w:pitch w:val="variable"/>
  </w:font>
  <w:font w:name="Liberation Sans">
    <w:altName w:val="Arial"/>
    <w:charset w:val="cc"/>
    <w:family w:val="swiss"/>
    <w:pitch w:val="variable"/>
  </w:font>
  <w:font w:name="Times New Roman">
    <w:charset w:val="01"/>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t xml:space="preserve">                                                                           </w:t>
    </w:r>
    <w:r>
      <w:rPr/>
      <w:fldChar w:fldCharType="begin"/>
    </w:r>
    <w:r>
      <w:rPr/>
      <w:instrText xml:space="preserve"> PAGE </w:instrText>
    </w:r>
    <w:r>
      <w:rPr/>
      <w:fldChar w:fldCharType="separate"/>
    </w:r>
    <w:r>
      <w:rPr/>
      <w:t>2</w:t>
    </w:r>
    <w:r>
      <w:rPr/>
      <w:fldChar w:fldCharType="end"/>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kern w:val="2"/>
      <w:sz w:val="24"/>
      <w:szCs w:val="24"/>
      <w:lang w:val="ru-RU" w:eastAsia="zh-CN" w:bidi="hi-IN"/>
    </w:rPr>
  </w:style>
  <w:style w:type="character" w:styleId="Style14">
    <w:name w:val="Hyperlink"/>
    <w:rPr>
      <w:color w:val="000080"/>
      <w:u w:val="single"/>
      <w:lang w:val="zxx" w:eastAsia="zxx" w:bidi="zxx"/>
    </w:rPr>
  </w:style>
  <w:style w:type="character" w:styleId="DefaultParagraphFont">
    <w:name w:val="Default Paragraph Font"/>
    <w:qFormat/>
    <w:rPr/>
  </w:style>
  <w:style w:type="character" w:styleId="Fontstyle01">
    <w:name w:val="fontstyle01"/>
    <w:basedOn w:val="DefaultParagraphFont"/>
    <w:qFormat/>
    <w:rPr>
      <w:rFonts w:ascii="TimesNewRomanPS-BoldMT" w:hAnsi="TimesNewRomanPS-BoldMT"/>
      <w:b/>
      <w:bCs/>
      <w:i w:val="false"/>
      <w:iCs w:val="false"/>
      <w:color w:val="000000"/>
      <w:sz w:val="32"/>
      <w:szCs w:val="32"/>
    </w:rPr>
  </w:style>
  <w:style w:type="character" w:styleId="Fontstyle21">
    <w:name w:val="fontstyle21"/>
    <w:basedOn w:val="DefaultParagraphFont"/>
    <w:qFormat/>
    <w:rPr>
      <w:rFonts w:ascii="TimesNewRomanPSMT" w:hAnsi="TimesNewRomanPSMT"/>
      <w:b w:val="false"/>
      <w:bCs w:val="false"/>
      <w:i w:val="false"/>
      <w:iCs w:val="false"/>
      <w:color w:val="000000"/>
      <w:sz w:val="28"/>
      <w:szCs w:val="28"/>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Колонтитул"/>
    <w:basedOn w:val="Normal"/>
    <w:qFormat/>
    <w:pPr>
      <w:suppressLineNumbers/>
      <w:tabs>
        <w:tab w:val="clear" w:pos="720"/>
        <w:tab w:val="center" w:pos="4819" w:leader="none"/>
        <w:tab w:val="right" w:pos="9638" w:leader="none"/>
      </w:tabs>
    </w:pPr>
    <w:rPr/>
  </w:style>
  <w:style w:type="paragraph" w:styleId="Style21">
    <w:name w:val="Header"/>
    <w:basedOn w:val="Normal"/>
    <w:pPr>
      <w:suppressLineNumbers/>
      <w:tabs>
        <w:tab w:val="clear" w:pos="720"/>
        <w:tab w:val="center" w:pos="4935" w:leader="none"/>
        <w:tab w:val="right" w:pos="987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89</TotalTime>
  <Application>LibreOffice/7.4.1.2$Windows_X86_64 LibreOffice_project/3c58a8f3a960df8bc8fd77b461821e42c061c5f0</Application>
  <AppVersion>15.0000</AppVersion>
  <Pages>2</Pages>
  <Words>605</Words>
  <Characters>4397</Characters>
  <CharactersWithSpaces>5283</CharactersWithSpaces>
  <Paragraphs>20</Paragraphs>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2022-07-07T13:06:00Z</dcterms:created>
  <dc:creator/>
  <dc:description/>
  <dc:language>ru-RU</dc:language>
  <cp:lastModifiedBy/>
  <dcterms:modified xsi:type="dcterms:W3CDTF">2025-09-29T16:35:42Z</dcterms:modified>
  <cp:revision>12</cp:revision>
  <dc:subject/>
  <dc:title>"Земельный кодекс Российской Федерации" от 25.10.2001 N 136-ФЗ(ред. от 28.05.2022)(с изм. и доп., вступ. в силу с 01.07.2022)</dc:title>
</cp:coreProperties>
</file>

<file path=docProps/custom.xml><?xml version="1.0" encoding="utf-8"?>
<Properties xmlns="http://schemas.openxmlformats.org/officeDocument/2006/custom-properties" xmlns:vt="http://schemas.openxmlformats.org/officeDocument/2006/docPropsVTypes"/>
</file>