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ЗАКЛЮЧЕНИЕ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Контрольно-счетной палаты г.о. Фрязино на проект 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постановлени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я Администрации городского округа Фрязино «</w:t>
      </w:r>
      <w:r>
        <w:rPr>
          <w:rFonts w:cs="Times New Roman" w:ascii="Times New Roman" w:hAnsi="Times New Roman"/>
          <w:b w:val="false"/>
          <w:bCs w:val="false"/>
          <w:sz w:val="28"/>
          <w:szCs w:val="24"/>
          <w:shd w:fill="auto" w:val="clear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4"/>
          <w:shd w:fill="auto" w:val="clear"/>
        </w:rPr>
        <w:t xml:space="preserve">округа Фрязино Московской области «Развитие институтов гражданского общества, повышение эффективности местного самоуправления и 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4"/>
          <w:shd w:fill="auto" w:val="clear"/>
        </w:rPr>
        <w:t>реализации молодежной политики» на 2023-2027 годы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</w:t>
      </w:r>
    </w:p>
    <w:p>
      <w:pPr>
        <w:pStyle w:val="Normal"/>
        <w:jc w:val="center"/>
        <w:rPr>
          <w:rFonts w:ascii="Times New Roman" w:hAnsi="Times New Roman"/>
          <w:shd w:fill="FFFF00" w:val="clear"/>
        </w:rPr>
      </w:pPr>
      <w:r>
        <w:rPr>
          <w:rFonts w:ascii="Times New Roman" w:hAnsi="Times New Roman"/>
          <w:shd w:fill="FFFF00" w:val="clear"/>
        </w:rPr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1. Заключение Контрольно-счетной палаты городского округа Фрязино на проект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постановления Администрации городского округа Фрязино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4"/>
          <w:shd w:fill="auto" w:val="clear"/>
          <w:lang w:val="ru-RU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»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— проект постановления) подготовлено в соответствии со статьей 157 Бюджетного кодекса РФ, статьей 9 Положения «О Контрольно-счетной палате городского округа Фрязино», утвержденного решением Совета депутатов городского округа Фрязино от 15.10.2021 № 105/24,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00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пунктами 23-26 Порядка разработки и реализации муниципальных программ городского округа Фрязино Московской области,  утвержденного постановлением Администрации городского округа Фрязино от 06.03.2023 № 187 (далее — Порядок № 187).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Внесение изменений в муниципальную  программу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4"/>
          <w:shd w:fill="auto" w:val="clear"/>
          <w:lang w:val="ru-RU"/>
        </w:rPr>
        <w:t>Развитие институтов гражданского общества, повышение эффективности местного самоуправления и реализации молодежной политики» на 2023-2027 годы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»</w:t>
      </w:r>
      <w:r>
        <w:rPr>
          <w:rFonts w:ascii="Times New Roman" w:hAnsi="Times New Roman"/>
          <w:bCs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(далее – Программа)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производится в соответствии с изменениями сводной бюджетной росписи расходов </w:t>
      </w:r>
      <w:r>
        <w:rPr>
          <w:rFonts w:eastAsia="Times New Roman" w:cs="Times New Roman" w:ascii="Times New Roman" w:hAnsi="Times New Roman"/>
          <w:b w:val="false"/>
          <w:i w:val="false"/>
          <w:color w:val="auto"/>
          <w:sz w:val="28"/>
          <w:szCs w:val="28"/>
          <w:lang w:eastAsia="en-US"/>
        </w:rPr>
        <w:t>на 2025 год и на плановый период 2026 и 2027 годов по состоянию на 18.08.2025 (далее — СБР).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3.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Проектом постановления вносятся изменения в действующую Программу  (ред. от 03.06.2025 № 524) на 2025 год:</w:t>
      </w:r>
    </w:p>
    <w:tbl>
      <w:tblPr>
        <w:tblW w:w="10110" w:type="dxa"/>
        <w:jc w:val="left"/>
        <w:tblInd w:w="-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20"/>
        <w:gridCol w:w="2955"/>
        <w:gridCol w:w="3058"/>
        <w:gridCol w:w="1876"/>
      </w:tblGrid>
      <w:tr>
        <w:trPr/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Источники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финансирования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</w:t>
            </w:r>
          </w:p>
        </w:tc>
        <w:tc>
          <w:tcPr>
            <w:tcW w:w="7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 (тыс. руб.) Программы</w:t>
            </w:r>
          </w:p>
        </w:tc>
      </w:tr>
      <w:tr>
        <w:trPr>
          <w:trHeight w:val="118" w:hRule="atLeast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2025 год</w:t>
            </w:r>
          </w:p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действующ. редакция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2025 год</w:t>
            </w:r>
          </w:p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проект постановления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Разница</w:t>
            </w:r>
          </w:p>
        </w:tc>
      </w:tr>
      <w:tr>
        <w:trPr>
          <w:trHeight w:val="1069" w:hRule="exact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220" w:before="0" w:after="1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</w:t>
              <w:softHyphen/>
              <w:t>та Московской области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en-US"/>
              </w:rPr>
              <w:t>0,0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en-US"/>
              </w:rPr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hd w:fill="auto" w:val="clear"/>
              </w:rPr>
              <w:t>2 664,36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/>
              </w:rPr>
              <w:t>2 664,36</w:t>
            </w:r>
          </w:p>
        </w:tc>
      </w:tr>
      <w:tr>
        <w:trPr>
          <w:trHeight w:val="1069" w:hRule="exact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220" w:before="0" w:after="1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5 909,8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5 926,29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+16,49</w:t>
            </w:r>
          </w:p>
        </w:tc>
      </w:tr>
      <w:tr>
        <w:trPr>
          <w:trHeight w:val="403" w:hRule="atLeast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Фрязино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41 806,2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hd w:fill="auto" w:val="clear"/>
              </w:rPr>
              <w:t>41 901,93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+95, 73</w:t>
            </w:r>
          </w:p>
        </w:tc>
      </w:tr>
      <w:tr>
        <w:trPr/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47 716,0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auto" w:val="clear"/>
              </w:rPr>
              <w:t>50 492,58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+2 776,58</w:t>
            </w:r>
          </w:p>
        </w:tc>
      </w:tr>
    </w:tbl>
    <w:p>
      <w:pPr>
        <w:pStyle w:val="Normal"/>
        <w:spacing w:lineRule="auto" w:line="276" w:before="0" w:after="57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Проектом постановления показатели Программы на 2025 год приводятся в соответствие с СБР </w:t>
      </w:r>
      <w:r>
        <w:rPr>
          <w:rFonts w:eastAsia="Times New Roman" w:cs="Times New Roman" w:ascii="Times New Roman" w:hAnsi="Times New Roman"/>
          <w:b w:val="false"/>
          <w:i w:val="false"/>
          <w:color w:val="auto"/>
          <w:sz w:val="28"/>
          <w:szCs w:val="28"/>
          <w:lang w:eastAsia="en-US"/>
        </w:rPr>
        <w:t>по состоянию на 18.08.2025.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4. Изменения Программы касаются: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4.1. </w:t>
      </w:r>
      <w:r>
        <w:rPr>
          <w:rFonts w:eastAsia="" w:cs="Times New Roman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Подпрограммы </w:t>
      </w:r>
      <w:r>
        <w:rPr>
          <w:rFonts w:ascii="Times New Roman" w:hAnsi="Times New Roman"/>
          <w:b w:val="false"/>
          <w:bCs w:val="false"/>
          <w:i w:val="false"/>
          <w:color w:val="000000"/>
          <w:sz w:val="28"/>
        </w:rPr>
        <w:t>1 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медиасреды»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мероприятие 01.01. «Информирование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e-mail-рассылок, смс информирования» добавлено финансирование за счет средств бюджета городского округа Фрязино в 2025 году в размере 186,00 тыс.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4.2. Подпрограммы </w:t>
      </w:r>
      <w:r>
        <w:rPr>
          <w:rFonts w:eastAsia="" w:cs="Times New Roman" w:ascii="Times New Roman" w:hAnsi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>3 «Эффективное местное самоуправление»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в мероприятие 02.01.04. «Приобретение детской спортивной формы для команд дзюдо и футбола муниципального бюджетного учреждения дополнительного образования «Спортивная школа «Олимп» городского округа Фрязино Московской области» добавляется финансирование за счет средств бюджета Московской области в сумме 951,36 тыс. руб.;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в мероприятие 02.01.05. «Ремонт входной группы в структурном подразделении «Культурный центр» МУ «ЦКиД «Факел» по адресу: г. о. Фрязино, ул. Комсомольская, д. 28» добавляется финансирование за счет средств бюджета Московской области в сумме  877,0 тыс. руб.;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в мероприятие 02.01.06. «Приобретение уличных веранд и гимнастических скамеек для МБОО СОШ №1 имени Героя Советского Союза И.И. Иванова г.о. Фрязино МО»  добавляется финансирование за счет средств бюджета Московской области в сумме 836,0 тыс. руб.;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spacing w:lineRule="auto" w:line="240" w:before="0" w:after="57"/>
        <w:ind w:firstLine="709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мероприятие 02.01.07. «Оказание услуг по разработке, созданию и техническому сопровождению сайта для нужд МКУ «Дирекция Наукограда» с финансовым обеспечением за счет средств местного бюджета в сумме 90,20 тыс. руб. из программы исключено.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4.3.</w:t>
      </w:r>
      <w:r>
        <w:rPr>
          <w:rFonts w:eastAsia="" w:cs="Times New Roman" w:ascii="Times New Roman" w:hAnsi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 xml:space="preserve"> Подпрограммы </w:t>
      </w:r>
      <w:r>
        <w:rPr>
          <w:rFonts w:ascii="Times New Roman" w:hAnsi="Times New Roman"/>
          <w:b w:val="false"/>
          <w:i w:val="false"/>
          <w:color w:val="000000"/>
          <w:sz w:val="28"/>
          <w:shd w:fill="auto" w:val="clear"/>
        </w:rPr>
        <w:t>6 «Обеспечивающая подпрограмма»: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м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оприятие 03.01 «Осуществление первичного воинского учета органами местного самоуправления поселений, муниципальных и городских округов» за счет средств федерального бюджета в 2025 году </w:t>
      </w:r>
      <w:r>
        <w:rPr>
          <w:rFonts w:eastAsia="" w:cs="Times New Roman" w:ascii="Times New Roman" w:hAnsi="Times New Roman" w:eastAsiaTheme="minorEastAsia"/>
          <w:b w:val="false"/>
          <w:i w:val="false"/>
          <w:color w:val="000000"/>
          <w:sz w:val="28"/>
          <w:szCs w:val="28"/>
        </w:rPr>
        <w:t>добавляется финансирование в сумме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16,49 тыс. руб. и </w:t>
      </w:r>
      <w:r>
        <w:rPr>
          <w:rFonts w:eastAsia="" w:cs="Times New Roman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составляет 5 926,29 тыс. руб.</w:t>
      </w:r>
    </w:p>
    <w:p>
      <w:pPr>
        <w:pStyle w:val="Normal"/>
        <w:tabs>
          <w:tab w:val="clear" w:pos="720"/>
          <w:tab w:val="left" w:pos="1701" w:leader="none"/>
        </w:tabs>
        <w:spacing w:lineRule="auto" w:line="276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eastAsia="ar-SA"/>
        </w:rPr>
        <w:t>5. Вносимые в Программу изменения соответствуют  пунктам 23, 24 Порядка № 187.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eastAsia="ar-SA"/>
        </w:rPr>
        <w:t xml:space="preserve">Замечаний к проекту постановления Администрации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4"/>
          <w:u w:val="none"/>
          <w:shd w:fill="auto" w:val="clear"/>
          <w:em w:val="none"/>
          <w:lang w:val="ru-RU" w:eastAsia="ar-SA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 xml:space="preserve">» </w:t>
      </w:r>
      <w:r>
        <w:rPr>
          <w:rFonts w:eastAsia="Calibri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eastAsia="ar-SA"/>
        </w:rPr>
        <w:t>нет.</w:t>
      </w:r>
    </w:p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  <w:shd w:fill="FFFF00" w:val="clear"/>
        </w:rPr>
      </w:pPr>
      <w:r>
        <w:rPr>
          <w:rFonts w:ascii="Times New Roman" w:hAnsi="Times New Roman"/>
          <w:i w:val="false"/>
          <w:iCs w:val="false"/>
          <w:sz w:val="28"/>
          <w:szCs w:val="28"/>
          <w:shd w:fill="FFFF00" w:val="clear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  <w:shd w:fill="FFFF00" w:val="clear"/>
        </w:rPr>
      </w:pPr>
      <w:r>
        <w:rPr>
          <w:rFonts w:ascii="Times New Roman" w:hAnsi="Times New Roman"/>
          <w:i w:val="false"/>
          <w:iCs w:val="false"/>
          <w:sz w:val="28"/>
          <w:szCs w:val="28"/>
          <w:shd w:fill="FFFF00" w:val="clear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  <w:t>Председатель Контрольно-счетной палаты                        Л.А. Панченко</w:t>
      </w:r>
      <w:r>
        <w:rPr>
          <w:rFonts w:ascii="Times New Roman" w:hAnsi="Times New Roman"/>
          <w:i w:val="false"/>
          <w:iCs w:val="false"/>
          <w:sz w:val="28"/>
          <w:szCs w:val="28"/>
          <w:shd w:fill="FFFF00" w:val="clear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sectPr>
      <w:headerReference w:type="default" r:id="rId2"/>
      <w:type w:val="nextPage"/>
      <w:pgSz w:w="11906" w:h="16838"/>
      <w:pgMar w:left="1200" w:right="686" w:gutter="0" w:header="652" w:top="1211" w:footer="0" w:bottom="6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16"/>
    <w:next w:val="Style17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6"/>
    <w:next w:val="Style17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6"/>
    <w:next w:val="Style17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31">
    <w:name w:val="Основной шрифт абзаца3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21">
    <w:name w:val="Основной шрифт абзаца2"/>
    <w:qFormat/>
    <w:rPr/>
  </w:style>
  <w:style w:type="character" w:styleId="WWAbsatzStandardschriftart1111">
    <w:name w:val="WW-Absatz-Standardschriftart1111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11">
    <w:name w:val="Основной шрифт абзаца1"/>
    <w:qFormat/>
    <w:rPr/>
  </w:style>
  <w:style w:type="character" w:styleId="Style12">
    <w:name w:val="Page Number"/>
    <w:basedOn w:val="11"/>
    <w:rPr/>
  </w:style>
  <w:style w:type="character" w:styleId="Style13">
    <w:name w:val="Символ нумерации"/>
    <w:qFormat/>
    <w:rPr/>
  </w:style>
  <w:style w:type="character" w:styleId="Style14">
    <w:name w:val="Hyperlink"/>
    <w:rPr>
      <w:color w:val="000080"/>
      <w:u w:val="single"/>
      <w:lang w:val="zxx" w:bidi="zxx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ascii="Arial" w:hAnsi="Arial"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Название объекта3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51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Название объекта2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41">
    <w:name w:val="Указатель4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ascii="Arial" w:hAnsi="Arial"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Arial" w:hAnsi="Arial" w:cs="Mangal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Style22">
    <w:name w:val="Обычный (веб)"/>
    <w:basedOn w:val="Normal"/>
    <w:qFormat/>
    <w:pPr>
      <w:spacing w:before="30" w:after="30"/>
    </w:pPr>
    <w:rPr>
      <w:rFonts w:ascii="Arial" w:hAnsi="Arial" w:cs="Arial"/>
      <w:color w:val="332E2D"/>
      <w:spacing w:val="2"/>
    </w:rPr>
  </w:style>
  <w:style w:type="paragraph" w:styleId="HTML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23">
    <w:name w:val="Body Text Indent"/>
    <w:basedOn w:val="Normal"/>
    <w:pPr>
      <w:widowControl w:val="false"/>
      <w:ind w:left="0" w:right="0" w:firstLine="485"/>
      <w:jc w:val="both"/>
    </w:pPr>
    <w:rPr/>
  </w:style>
  <w:style w:type="paragraph" w:styleId="311">
    <w:name w:val="Основной текст с отступом 31"/>
    <w:basedOn w:val="Normal"/>
    <w:qFormat/>
    <w:pPr>
      <w:widowControl w:val="false"/>
      <w:ind w:left="0" w:right="0" w:firstLine="488"/>
      <w:jc w:val="both"/>
    </w:pPr>
    <w:rPr/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Документ"/>
    <w:basedOn w:val="Normal"/>
    <w:qFormat/>
    <w:pPr>
      <w:spacing w:lineRule="auto" w:line="360"/>
      <w:ind w:left="0" w:right="0" w:firstLine="709"/>
      <w:jc w:val="both"/>
    </w:pPr>
    <w:rPr>
      <w:sz w:val="28"/>
      <w:szCs w:val="20"/>
    </w:rPr>
  </w:style>
  <w:style w:type="paragraph" w:styleId="Style29">
    <w:name w:val="Содержимое врезки"/>
    <w:basedOn w:val="Style17"/>
    <w:qFormat/>
    <w:pPr/>
    <w:rPr/>
  </w:style>
  <w:style w:type="paragraph" w:styleId="Style30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2">
    <w:name w:val="Subtitle"/>
    <w:basedOn w:val="Style16"/>
    <w:next w:val="Style17"/>
    <w:qFormat/>
    <w:pPr>
      <w:spacing w:before="60" w:after="120"/>
      <w:jc w:val="center"/>
    </w:pPr>
    <w:rPr>
      <w:sz w:val="36"/>
      <w:szCs w:val="36"/>
    </w:rPr>
  </w:style>
  <w:style w:type="paragraph" w:styleId="Style33">
    <w:name w:val="Содержимое таблицы"/>
    <w:basedOn w:val="Normal"/>
    <w:qFormat/>
    <w:pPr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DocList">
    <w:name w:val="&#9;&#9;ConsPlusDocList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Application>LibreOffice/7.4.1.2$Windows_X86_64 LibreOffice_project/3c58a8f3a960df8bc8fd77b461821e42c061c5f0</Application>
  <AppVersion>15.0000</AppVersion>
  <Pages>3</Pages>
  <Words>611</Words>
  <Characters>4309</Characters>
  <CharactersWithSpaces>4978</CharactersWithSpaces>
  <Paragraphs>51</Paragraphs>
  <Company>КонсультантПлюс Версия 4017.00.21_x005F_x0000__x005F_x0000_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Вера</dc:creator>
  <dc:description/>
  <dc:language>ru-RU</dc:language>
  <cp:lastModifiedBy/>
  <cp:lastPrinted>1995-11-21T17:41:00Z</cp:lastPrinted>
  <dcterms:modified xsi:type="dcterms:W3CDTF">2025-09-02T11:21:18Z</dcterms:modified>
  <cp:revision>108</cp:revision>
  <dc:subject/>
  <dc:title>Постановление Правительства МО от 14.10.2011 N 1192/40(ред. от 18.10.2016)"О Методике расчета нормативов расходов бюджетов муниципальных образований Московской области в сфере обеспечения безопасности населения"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