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постановлени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я Администрации городского округа Фрязино «</w:t>
      </w: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 xml:space="preserve">округа Фрязино Московской области «Развитие институтов гражданского общества, повышение эффективности местного самоуправления и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4"/>
          <w:shd w:fill="auto" w:val="clear"/>
        </w:rPr>
        <w:t>реализации молодежной политики» на 2023-2027 годы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</w:t>
      </w:r>
    </w:p>
    <w:p>
      <w:pPr>
        <w:pStyle w:val="Normal"/>
        <w:jc w:val="center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1. Заключение Контрольно-счетной палаты городского округа Фрязино на проект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постановления Администрации городского округа Фрязино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auto" w:val="clear"/>
          <w:lang w:val="ru-RU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— проект постановления)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городского округа Фрязино от 15.10.2021 № 105/24,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пунктами 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Внесение изменений в муниципальную  программу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auto" w:val="clear"/>
          <w:lang w:val="ru-RU"/>
        </w:rPr>
        <w:t>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»</w:t>
      </w: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– Программа)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производится во исполнение решения Совета депутатов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городского округа Фрязино 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8"/>
          <w:szCs w:val="28"/>
          <w:lang w:eastAsia="en-US"/>
        </w:rPr>
        <w:t>от 01.04.2025 № 552/95 «О внесении изменений в решение Совета депутатов городского округа Фрязино от 17.12.2024 № 519/90 «О бюджете городского округа Фрязино на 2025 год и на плановый период 2026 и 2027 годов» (далее — решение о бюджете).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Проектом постановления вносятся изменения в Паспорт действующей Программы  (ред. от 09.04.2025 № 329) на 2025 год:</w:t>
      </w:r>
    </w:p>
    <w:tbl>
      <w:tblPr>
        <w:tblW w:w="10110" w:type="dxa"/>
        <w:jc w:val="left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20"/>
        <w:gridCol w:w="2955"/>
        <w:gridCol w:w="3058"/>
        <w:gridCol w:w="1876"/>
      </w:tblGrid>
      <w:tr>
        <w:trPr/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финансирования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</w:t>
            </w:r>
          </w:p>
        </w:tc>
        <w:tc>
          <w:tcPr>
            <w:tcW w:w="7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(тыс. руб.) Программы</w:t>
            </w:r>
          </w:p>
        </w:tc>
      </w:tr>
      <w:tr>
        <w:trPr>
          <w:trHeight w:val="118" w:hRule="atLeast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действующ. редакция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проект постановления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Разница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</w:t>
              <w:softHyphen/>
              <w:t>та Московской области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en-US"/>
              </w:rPr>
              <w:t>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en-US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5 909,8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5 909,8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>
        <w:trPr>
          <w:trHeight w:val="403" w:hRule="atLeas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Фрязино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41 242,3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41 806,2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+563,9</w:t>
            </w:r>
          </w:p>
        </w:tc>
      </w:tr>
      <w:tr>
        <w:trPr/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47 152,1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47 716,0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+563,9</w:t>
            </w:r>
          </w:p>
        </w:tc>
      </w:tr>
    </w:tbl>
    <w:p>
      <w:pPr>
        <w:pStyle w:val="Normal"/>
        <w:spacing w:lineRule="auto" w:line="276" w:before="0" w:after="57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>Проектом постановления показатели Программы на 2025 год приводятся в соответствие с решением о бюджете на 2025 год.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 Изменения Программы касаются: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4.1.</w:t>
      </w:r>
      <w:r>
        <w:rPr>
          <w:rFonts w:cs="Times New Roman" w:ascii="Times New Roman" w:hAnsi="Times New Roman"/>
          <w:sz w:val="28"/>
          <w:shd w:fill="auto" w:val="clear"/>
        </w:rPr>
        <w:t xml:space="preserve">  </w:t>
      </w: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Подпрограммы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3 «Эффективное местное самоуправление»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Добавляется мероприятие 02.01.04. «Приобретение детской спортивной формы для команд дзюдо и футбола муниципального бюджетного учреждения дополнительного образования «Спортивная школа «Олимп» городского округа Фрязино Московской области» с финансовым обеспечением 186,64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Добавляется мероприятие 02.01.05. «Ремонт входной группы в структурном подразделении «Культурный центр» МУ «ЦКиД «Факел» по адресу: г. о. Фрязино, ул. Комсомольская, д. 28» с финансовым обеспечением 123,00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Добавляется мероприятие 02.01.06. «Приобретение уличных веранд и гимнастических скамеек для МБОО СОШ №1 имени Героя Советского Союза И.И. Иванова г.о. Фрязино МО» с финансовым обеспечением 164,00 тыс. руб.;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Добавляется мероприятие 02.01.07. «Оказание услуг по разработке, созданию и техническому сопровождению сайта для нужд МКУ «Дирекция Наукограда» с финансовым обеспечением 90,20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4.2.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Подпрограммы 4 «Молодежь Подмосковья»: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01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Стоимость Мероприятия 01.01 «</w:t>
      </w:r>
      <w:r>
        <w:rPr>
          <w:rFonts w:cs="Times New Roman" w:ascii="Times New Roman" w:hAnsi="Times New Roman"/>
          <w:sz w:val="28"/>
          <w:szCs w:val="28"/>
        </w:rPr>
        <w:t>Организация и проведение мероприятий по гражданско-патриотическому и духовно-нравственному воспитанию молодежи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» за счет средств городского округа Фрязино уменьшается на 300,0 тыс. руб. и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>устанавливается в размере 1 200,0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тыс. руб.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76" w:before="0" w:after="0"/>
        <w:ind w:left="720" w:hanging="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 xml:space="preserve">4.3. Подпрограммы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6 «Обеспечивающая подпрограмма»: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01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Стоимость Мероприятия 01.03 «</w:t>
      </w:r>
      <w:r>
        <w:rPr>
          <w:rFonts w:cs="Times New Roman"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 в сфере молодежной политики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» за счет средств городского округа Фрязино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 xml:space="preserve">увеличивается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на 300,0 тыс. руб. и </w:t>
      </w:r>
      <w:r>
        <w:rPr>
          <w:rFonts w:eastAsia="" w:cs="Times New Roman" w:ascii="Times New Roman" w:hAnsi="Times New Roman" w:eastAsiaTheme="minorEastAsia"/>
          <w:b w:val="false"/>
          <w:i w:val="false"/>
          <w:color w:val="000000"/>
          <w:sz w:val="28"/>
          <w:szCs w:val="28"/>
          <w:shd w:fill="auto" w:val="clear"/>
        </w:rPr>
        <w:t xml:space="preserve">устанавливается в размере </w:t>
      </w:r>
      <w:r>
        <w:rPr>
          <w:rFonts w:cs="Times New Roman" w:ascii="Times New Roman" w:hAnsi="Times New Roman"/>
          <w:sz w:val="28"/>
          <w:szCs w:val="28"/>
        </w:rPr>
        <w:t>7 292,6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тыс. руб.</w:t>
      </w:r>
    </w:p>
    <w:p>
      <w:pPr>
        <w:pStyle w:val="Normal"/>
        <w:tabs>
          <w:tab w:val="clear" w:pos="720"/>
          <w:tab w:val="left" w:pos="1701" w:leader="none"/>
        </w:tabs>
        <w:spacing w:lineRule="auto" w:line="276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>5. Вносимые в Программу изменения соответствуют статье 179 Бюджетного кодекса РФ и пунктам 23, 24 Порядка № 187.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 xml:space="preserve">Замечаний к проекту постановления Администрации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4"/>
          <w:u w:val="none"/>
          <w:shd w:fill="auto" w:val="clear"/>
          <w:em w:val="none"/>
          <w:lang w:val="ru-RU" w:eastAsia="ar-SA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»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eastAsia="ar-SA"/>
        </w:rPr>
        <w:t>нет.</w:t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Л.А. Панченко</w:t>
      </w:r>
      <w:r>
        <w:rPr>
          <w:rFonts w:ascii="Times New Roman" w:hAnsi="Times New Roman"/>
          <w:i w:val="false"/>
          <w:iCs w:val="false"/>
          <w:sz w:val="28"/>
          <w:szCs w:val="28"/>
          <w:shd w:fill="FFFF00" w:val="clear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sectPr>
      <w:headerReference w:type="default" r:id="rId2"/>
      <w:type w:val="nextPage"/>
      <w:pgSz w:w="11906" w:h="16838"/>
      <w:pgMar w:left="1200" w:right="686" w:gutter="0" w:header="652" w:top="1211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ascii="Arial" w:hAnsi="Arial"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2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3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29">
    <w:name w:val="Содержимое врезки"/>
    <w:basedOn w:val="Style17"/>
    <w:qFormat/>
    <w:pPr/>
    <w:rPr/>
  </w:style>
  <w:style w:type="paragraph" w:styleId="Style30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2">
    <w:name w:val="Subtitle"/>
    <w:basedOn w:val="Style16"/>
    <w:next w:val="Style17"/>
    <w:qFormat/>
    <w:pPr>
      <w:spacing w:before="60" w:after="120"/>
      <w:jc w:val="center"/>
    </w:pPr>
    <w:rPr>
      <w:sz w:val="36"/>
      <w:szCs w:val="36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Application>LibreOffice/7.4.1.2$Windows_X86_64 LibreOffice_project/3c58a8f3a960df8bc8fd77b461821e42c061c5f0</Application>
  <AppVersion>15.0000</AppVersion>
  <Pages>3</Pages>
  <Words>581</Words>
  <Characters>4058</Characters>
  <CharactersWithSpaces>4696</CharactersWithSpaces>
  <Paragraphs>51</Paragraphs>
  <Company>КонсультантПлюс Версия 4017.00.21_x005F_x0000__x005F_x0000_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Вера</dc:creator>
  <dc:description/>
  <dc:language>ru-RU</dc:language>
  <cp:lastModifiedBy/>
  <cp:lastPrinted>1995-11-21T17:41:00Z</cp:lastPrinted>
  <dcterms:modified xsi:type="dcterms:W3CDTF">2025-05-20T15:29:01Z</dcterms:modified>
  <cp:revision>103</cp:revision>
  <dc:subject/>
  <dc:title>Постановление Правительства МО от 14.10.2011 N 1192/40(ред. от 18.10.2016)"О Методике расчета нормативов расходов бюджетов муниципальных образований Московской области в сфере обеспечения безопасности населения"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