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постановления Администрации городского округа Фрязино </w:t>
        <w:br/>
        <w:t>«О внесении изменений в постановление а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дминистрации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постановления Администрации городского округа Фрязино «О внесении изменений в постановление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/>
        </w:rPr>
        <w:t>администрации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auto" w:val="clear"/>
          <w:lang w:val="ru-RU"/>
        </w:rPr>
        <w:t xml:space="preserve">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</w:t>
      </w:r>
      <w:r>
        <w:rPr>
          <w:rFonts w:eastAsia="Times New Roman" w:ascii="Times New Roman" w:hAnsi="Times New Roman"/>
          <w:bCs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(далее — проект постановления, Программа)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от 15.10.2021 № 105/24, пунктами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23-26 Порядка разработки и реализации муниципальных программ городского округа Фрязино Московской области,  утвержденного постановлением Администрации городского округа Фрязино от 06.03.2023 № 187 (далее — Порядок № 187).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 Изменения в Программу на 2024 год вносятся в соответствии с показателями сводной бюджетной росписи по расходам бюджета городского округа Фрязино на 2024 год и плановый период 2025-2026 годов по состоянию на 01.01.2025 (далее — СБР).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3. Согласно действующей редакции Программы, утвержденной постановлением Администрации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городского округа Фрязино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29.10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.2024</w:t>
      </w:r>
      <w:r>
        <w:rPr>
          <w:rFonts w:eastAsia="Calibri" w:cs="Times New Roman" w:ascii="Times New Roman" w:hAnsi="Times New Roman"/>
          <w:kern w:val="0"/>
          <w:sz w:val="28"/>
          <w:szCs w:val="28"/>
          <w:shd w:fill="auto" w:val="clear"/>
          <w:lang w:val="ru-RU" w:eastAsia="en-US" w:bidi="ar-SA"/>
        </w:rPr>
        <w:t xml:space="preserve"> № 1081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 объем бюджетного финансирования на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2024 год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составляет:</w:t>
      </w:r>
    </w:p>
    <w:p>
      <w:pPr>
        <w:pStyle w:val="Style18"/>
        <w:tabs>
          <w:tab w:val="clear" w:pos="720"/>
          <w:tab w:val="left" w:pos="4695" w:leader="none"/>
        </w:tabs>
        <w:spacing w:lineRule="auto" w:line="240" w:before="0" w:after="0"/>
        <w:jc w:val="both"/>
        <w:rPr>
          <w:rFonts w:ascii="Times New Roman" w:hAnsi="Times New Roman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tbl>
      <w:tblPr>
        <w:tblW w:w="9983" w:type="dxa"/>
        <w:jc w:val="left"/>
        <w:tblInd w:w="86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56"/>
        <w:gridCol w:w="1926"/>
      </w:tblGrid>
      <w:tr>
        <w:trPr>
          <w:trHeight w:val="915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2024 год</w:t>
            </w:r>
          </w:p>
        </w:tc>
      </w:tr>
      <w:tr>
        <w:trPr>
          <w:trHeight w:val="850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873,0</w:t>
            </w:r>
          </w:p>
        </w:tc>
      </w:tr>
      <w:tr>
        <w:trPr>
          <w:trHeight w:val="850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 Фрязино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71 275,3</w:t>
            </w:r>
          </w:p>
        </w:tc>
      </w:tr>
      <w:tr>
        <w:trPr>
          <w:trHeight w:val="850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72 148,3</w:t>
            </w:r>
          </w:p>
        </w:tc>
      </w:tr>
    </w:tbl>
    <w:p>
      <w:pPr>
        <w:pStyle w:val="Normal"/>
        <w:tabs>
          <w:tab w:val="clear" w:pos="720"/>
          <w:tab w:val="left" w:pos="4695" w:leader="none"/>
        </w:tabs>
        <w:spacing w:lineRule="auto" w:line="240" w:before="0" w:after="0"/>
        <w:jc w:val="both"/>
        <w:rPr>
          <w:rFonts w:ascii="Times New Roman" w:hAnsi="Times New Roman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Style18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Согласно представленному проекту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en-US" w:eastAsia="ru-RU"/>
        </w:rPr>
        <w:t xml:space="preserve">Программы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устанавливаются объемы финансирования на 2024 год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en-US" w:eastAsia="ru-RU"/>
        </w:rPr>
        <w:t>:</w:t>
      </w:r>
    </w:p>
    <w:tbl>
      <w:tblPr>
        <w:tblW w:w="9983" w:type="dxa"/>
        <w:jc w:val="left"/>
        <w:tblInd w:w="86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56"/>
        <w:gridCol w:w="1926"/>
      </w:tblGrid>
      <w:tr>
        <w:trPr>
          <w:trHeight w:val="960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2024 год</w:t>
            </w:r>
          </w:p>
        </w:tc>
      </w:tr>
      <w:tr>
        <w:trPr>
          <w:trHeight w:val="850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>
        <w:trPr>
          <w:trHeight w:val="850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 Фрязино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71 </w:t>
            </w:r>
            <w:r>
              <w:rPr>
                <w:rFonts w:ascii="Times New Roman" w:hAnsi="Times New Roman"/>
                <w:sz w:val="24"/>
                <w:szCs w:val="24"/>
              </w:rPr>
              <w:t>808,7</w:t>
            </w:r>
          </w:p>
        </w:tc>
      </w:tr>
      <w:tr>
        <w:trPr>
          <w:trHeight w:val="850" w:hRule="atLeast"/>
        </w:trPr>
        <w:tc>
          <w:tcPr>
            <w:tcW w:w="80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72 358,7</w:t>
            </w:r>
          </w:p>
        </w:tc>
      </w:tr>
    </w:tbl>
    <w:p>
      <w:pPr>
        <w:pStyle w:val="Style18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Таким образом,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en-US" w:eastAsia="ru-RU"/>
        </w:rPr>
        <w:t>общий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 объем финансирования Программы на 2024 год увеличивается на 210,4 тыс. руб., в том числе, за счет средств местного бюджета — на 533,4 тыс. руб. За счет средств областного бюджета — финансирование уменьшается на 323,0 тыс. руб. (Уведомление МЭФ МО № 833/0051/1 от 10.12.2024 — осуществление переданных полномочий МО по транспортировке в морг, включая погрузочно-разгрузочные работы, с мест обнаружения или происшествия умерших для производства судебно-медицинской экспертизы).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Устанавливаемый объем финансирования Программы на 2024 год соответствует показателю, установленному СБР по состоянию на 01.01.2025.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r>
    </w:p>
    <w:p>
      <w:pPr>
        <w:pStyle w:val="Style18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4. Изменения Программы касаются: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4.1. Подпрограммы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1 «Профилактика преступлений и иных правонарушений» - </w:t>
      </w:r>
      <w:r>
        <w:rPr>
          <w:rFonts w:eastAsia="Calibri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увеличение финансирования на 260,4 тыс. руб.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, в том числе: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/>
          <w:b w:val="false"/>
          <w:bCs w:val="false"/>
          <w:i w:val="false"/>
          <w:color w:val="000000"/>
          <w:kern w:val="0"/>
          <w:sz w:val="28"/>
          <w:szCs w:val="28"/>
          <w:lang w:val="ru-RU" w:eastAsia="en-US" w:bidi="ar-SA"/>
        </w:rPr>
        <w:t xml:space="preserve">мероприятие 07.02 </w:t>
      </w:r>
      <w:r>
        <w:rPr>
          <w:rFonts w:eastAsia="Times New Roman" w:cs="" w:ascii="Times New Roman" w:hAnsi="Times New Roman"/>
          <w:b/>
          <w:bCs/>
          <w:i w:val="false"/>
          <w:color w:val="000000"/>
          <w:kern w:val="0"/>
          <w:sz w:val="28"/>
          <w:szCs w:val="28"/>
          <w:lang w:val="ru-RU" w:eastAsia="en-US" w:bidi="ar-SA"/>
        </w:rPr>
        <w:t>«</w:t>
      </w: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kern w:val="0"/>
          <w:sz w:val="28"/>
          <w:szCs w:val="28"/>
          <w:lang w:val="ru-RU" w:eastAsia="ru-RU" w:bidi="ar-SA"/>
        </w:rPr>
        <w:t>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экспертизы» - уменьшение финансирования на 323,0 тыс. руб. за счет средств областного бюджета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/>
          <w:bCs w:val="false"/>
          <w:kern w:val="0"/>
          <w:sz w:val="28"/>
          <w:szCs w:val="28"/>
          <w:lang w:val="ru-RU" w:eastAsia="en-US" w:bidi="ar-SA"/>
        </w:rPr>
        <w:t>мероприятие 07.04 «</w:t>
      </w:r>
      <w:r>
        <w:rPr>
          <w:rFonts w:eastAsia="Times New Roman" w:cs="" w:ascii="Times New Roman" w:hAnsi="Times New Roman"/>
          <w:b w:val="false"/>
          <w:bCs w:val="false"/>
          <w:i w:val="false"/>
          <w:color w:val="000000"/>
          <w:kern w:val="2"/>
          <w:sz w:val="28"/>
          <w:szCs w:val="28"/>
          <w:lang w:val="ru-RU" w:eastAsia="en-US" w:bidi="ar-SA"/>
        </w:rPr>
        <w:t xml:space="preserve">Расходы на обеспечение деятельности (оказание услуг) в сфере похоронного дела» - увеличение </w:t>
      </w: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kern w:val="0"/>
          <w:sz w:val="28"/>
          <w:szCs w:val="28"/>
          <w:lang w:val="ru-RU" w:eastAsia="ru-RU" w:bidi="ar-SA"/>
        </w:rPr>
        <w:t xml:space="preserve">финансирования </w:t>
      </w:r>
      <w:r>
        <w:rPr>
          <w:rFonts w:eastAsia="Times New Roman" w:cs="" w:ascii="Times New Roman" w:hAnsi="Times New Roman"/>
          <w:b w:val="false"/>
          <w:bCs w:val="false"/>
          <w:i w:val="false"/>
          <w:color w:val="000000"/>
          <w:kern w:val="2"/>
          <w:sz w:val="28"/>
          <w:szCs w:val="28"/>
          <w:lang w:val="ru-RU" w:eastAsia="en-US" w:bidi="ar-SA"/>
        </w:rPr>
        <w:t>на 853,4 тыс. руб. за счет средств местного бюджета;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/>
          <w:bCs w:val="false"/>
          <w:kern w:val="0"/>
          <w:sz w:val="28"/>
          <w:szCs w:val="28"/>
          <w:lang w:val="ru-RU" w:eastAsia="en-US" w:bidi="ar-SA"/>
        </w:rPr>
        <w:t>мероприятие 07.06 «</w:t>
      </w:r>
      <w:r>
        <w:rPr>
          <w:rFonts w:eastAsia="Times New Roman" w:cs="" w:ascii="Times New Roman" w:hAnsi="Times New Roman"/>
          <w:b w:val="false"/>
          <w:bCs w:val="false"/>
          <w:i w:val="false"/>
          <w:color w:val="000000"/>
          <w:kern w:val="2"/>
          <w:sz w:val="28"/>
          <w:szCs w:val="28"/>
          <w:lang w:val="ru-RU" w:eastAsia="en-US" w:bidi="ar-SA"/>
        </w:rPr>
        <w:t xml:space="preserve">Зимние и летние работы по содержанию мест захоронений, текущий и капитальный ремонт основных фондов» - уменьшение </w:t>
      </w: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kern w:val="0"/>
          <w:sz w:val="28"/>
          <w:szCs w:val="28"/>
          <w:lang w:val="ru-RU" w:eastAsia="ru-RU" w:bidi="ar-SA"/>
        </w:rPr>
        <w:t xml:space="preserve">финансирования </w:t>
      </w:r>
      <w:r>
        <w:rPr>
          <w:rFonts w:eastAsia="Times New Roman" w:cs="" w:ascii="Times New Roman" w:hAnsi="Times New Roman"/>
          <w:b w:val="false"/>
          <w:bCs w:val="false"/>
          <w:i w:val="false"/>
          <w:color w:val="000000"/>
          <w:kern w:val="2"/>
          <w:sz w:val="28"/>
          <w:szCs w:val="28"/>
          <w:lang w:val="ru-RU" w:eastAsia="en-US" w:bidi="ar-SA"/>
        </w:rPr>
        <w:t>на 270,0 тыс. руб. за счет средств местного бюджета;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>
          <w:rFonts w:ascii="Times New Roman" w:hAnsi="Times New Roman"/>
          <w:b w:val="false"/>
          <w:b w:val="false"/>
          <w:i w:val="false"/>
          <w:i w:val="false"/>
          <w:color w:val="000000"/>
          <w:kern w:val="2"/>
          <w:sz w:val="21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1"/>
        </w:rPr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4.2.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Подпрограммы 2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«О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беспечение мероприятий по защите населения и территорий от чрезвычайных ситуаций» - </w:t>
      </w:r>
      <w:r>
        <w:rPr>
          <w:rFonts w:eastAsia="Calibri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уменьшение финансирования на 50,0 тыс. руб.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, в том числе: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 w:val="false"/>
          <w:iCs w:val="false"/>
          <w:strike w:val="false"/>
          <w:dstrike w:val="false"/>
          <w:outline w:val="false"/>
          <w:shadow w:val="false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мероприятие 03.04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Проведение и участие в учениях, соревнованиях, тренировках, смотрах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конкурсах, семинарах (в том числе учащихся общеобразовательных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учреждений)» - уменьшение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финансирования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на 50,0 тыс. руб. </w:t>
      </w:r>
      <w:r>
        <w:rPr>
          <w:rFonts w:eastAsia="Times New Roman"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>за счет средств местного бюджета.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eastAsia="Calibri" w:cs=""/>
          <w:b w:val="false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5.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>Замечаний к проекту постановления нет. Показатели Программы на 2024 год приведены в соответствие с показателями СБР по состоянию на 01.01.2025.</w:t>
      </w:r>
    </w:p>
    <w:p>
      <w:pPr>
        <w:pStyle w:val="ConsPlusNormal"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  <w:lang w:val="ru-RU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>Председатель Контрольно-счетной палаты                           Л.А. Панченко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type w:val="nextPage"/>
      <w:pgSz w:w="11906" w:h="16838"/>
      <w:pgMar w:left="1200" w:right="686" w:gutter="0" w:header="652" w:top="1211" w:footer="0" w:bottom="6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31">
    <w:name w:val="Основной шрифт абзаца3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21">
    <w:name w:val="Основной шрифт абзаца2"/>
    <w:qFormat/>
    <w:rPr/>
  </w:style>
  <w:style w:type="character" w:styleId="WWAbsatzStandardschriftart1111">
    <w:name w:val="WW-Absatz-Standardschriftart111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11">
    <w:name w:val="Основной шрифт абзаца1"/>
    <w:qFormat/>
    <w:rPr/>
  </w:style>
  <w:style w:type="character" w:styleId="Style12">
    <w:name w:val="Page Number"/>
    <w:basedOn w:val="11"/>
    <w:rPr/>
  </w:style>
  <w:style w:type="character" w:styleId="Style13">
    <w:name w:val="Символ нумерации"/>
    <w:qFormat/>
    <w:rPr/>
  </w:style>
  <w:style w:type="character" w:styleId="Style14">
    <w:name w:val="Hyperlink"/>
    <w:rPr>
      <w:color w:val="000080"/>
      <w:u w:val="single"/>
      <w:lang w:val="zxx" w:bidi="zxx"/>
    </w:rPr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ascii="Arial" w:hAnsi="Arial"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ascii="Arial" w:hAnsi="Arial"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Mang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3">
    <w:name w:val="Обычный (веб)"/>
    <w:basedOn w:val="Normal"/>
    <w:qFormat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4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311">
    <w:name w:val="Основной текст с отступом 31"/>
    <w:basedOn w:val="Normal"/>
    <w:qFormat/>
    <w:pPr>
      <w:widowControl w:val="false"/>
      <w:ind w:left="0" w:right="0" w:firstLine="488"/>
      <w:jc w:val="both"/>
    </w:pPr>
    <w:rPr/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9">
    <w:name w:val="Документ"/>
    <w:basedOn w:val="Normal"/>
    <w:qFormat/>
    <w:pPr>
      <w:spacing w:lineRule="auto" w:line="360"/>
      <w:ind w:left="0" w:right="0" w:firstLine="709"/>
      <w:jc w:val="both"/>
    </w:pPr>
    <w:rPr>
      <w:sz w:val="28"/>
      <w:szCs w:val="20"/>
    </w:rPr>
  </w:style>
  <w:style w:type="paragraph" w:styleId="Style30">
    <w:name w:val="Содержимое врезки"/>
    <w:basedOn w:val="Style18"/>
    <w:qFormat/>
    <w:pPr/>
    <w:rPr/>
  </w:style>
  <w:style w:type="paragraph" w:styleId="Style31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2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3">
    <w:name w:val="Subtitle"/>
    <w:basedOn w:val="Style17"/>
    <w:next w:val="Style18"/>
    <w:qFormat/>
    <w:pPr>
      <w:spacing w:before="60" w:after="120"/>
      <w:jc w:val="center"/>
    </w:pPr>
    <w:rPr>
      <w:sz w:val="36"/>
      <w:szCs w:val="36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DocList">
    <w:name w:val="&#9;&#9;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paragraph" w:styleId="BodyTextIndent3">
    <w:name w:val="Body Text Indent 3"/>
    <w:basedOn w:val="Normal"/>
    <w:qFormat/>
    <w:pPr>
      <w:ind w:left="0" w:right="0" w:firstLine="709"/>
      <w:jc w:val="both"/>
    </w:pPr>
    <w:rPr>
      <w:sz w:val="26"/>
      <w:szCs w:val="26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Application>LibreOffice/7.4.1.2$Windows_X86_64 LibreOffice_project/3c58a8f3a960df8bc8fd77b461821e42c061c5f0</Application>
  <AppVersion>15.0000</AppVersion>
  <Pages>3</Pages>
  <Words>532</Words>
  <Characters>3704</Characters>
  <CharactersWithSpaces>4305</CharactersWithSpaces>
  <Paragraphs>41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2023-03-06T10:06:00Z</dcterms:created>
  <dc:creator>Вера</dc:creator>
  <dc:description/>
  <dc:language>ru-RU</dc:language>
  <cp:lastModifiedBy/>
  <cp:lastPrinted>1995-11-21T17:41:00Z</cp:lastPrinted>
  <dcterms:modified xsi:type="dcterms:W3CDTF">2025-01-20T14:26:27Z</dcterms:modified>
  <cp:revision>113</cp:revision>
  <dc:subject/>
  <dc:title>"Бюджетный кодекс Российской Федерации" от 31.07.1998 N 145-ФЗ(ред. от 28.12.2022)(с изм. и доп., вступ. в силу с 01.01.2023)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