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auto" w:val="clear"/>
        </w:rPr>
        <w:t>ЗАКЛЮЧЕНИЕ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Контрольно-счетной палаты г.о. Фрязино на проект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постановления Администрации городского округа Фрязино </w:t>
        <w:br/>
        <w:t>«О внесении изменений в постановление а</w:t>
      </w: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>дминистрации</w:t>
      </w:r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 xml:space="preserve"> городского округа Фрязино от 22.12.2022 № 931 «Об утверждении муниципальной программы городского округа Фрязино Московской области «Безопасность и обеспечение безопасности жизнедеятельности населения» на 2023-2027 годы»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bCs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bCs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hd w:fill="FFFF00" w:val="clear"/>
        </w:rPr>
      </w:pPr>
      <w:r>
        <w:rPr>
          <w:rFonts w:ascii="Times New Roman" w:hAnsi="Times New Roman"/>
          <w:shd w:fill="FFFF00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1. Заключение Контрольно-счетной палаты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городского округа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Фрязино на проект </w:t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val="ru-RU"/>
        </w:rPr>
        <w:t xml:space="preserve">постановления Администрации городского округа Фрязино «О внесении изменений в постановление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ru-RU" w:eastAsia="ar-SA"/>
        </w:rPr>
        <w:t>администрации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shd w:fill="auto" w:val="clear"/>
          <w:lang w:val="ru-RU"/>
        </w:rPr>
        <w:t xml:space="preserve"> городского округа Фрязино от 22.12.2022 № 931 «Об утверждении муниципальной программы городского округа Фрязино Московской области «Безопасность и обеспечение безопасности жизнедеятельности населения» на 2023-2027 годы»</w:t>
      </w:r>
      <w:r>
        <w:rPr>
          <w:rFonts w:eastAsia="Times New Roman" w:ascii="Times New Roman" w:hAnsi="Times New Roman"/>
          <w:bCs/>
          <w:color w:val="000000"/>
          <w:sz w:val="28"/>
          <w:szCs w:val="28"/>
          <w:shd w:fill="auto" w:val="clear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(далее — проект постановления, Программа) подготовлено в соответствии со статьей 157 Бюджетного кодекса РФ, статьей 9 Положения «О Контрольно-счетной палате городского округа Фрязино», утвержденного решением Совета депутатов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городского округа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Фрязино от 15.10.2021 № 105/24, пунктами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  <w:t>23-26 Порядка разработки и реализации муниципальных программ городского округа Фрязино Московской области,  утвержденного постановлением Администрации городского округа Фрязино от 06.03.2023 № 187 (далее — Порядок № 187).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5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2. 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 xml:space="preserve"> Изменения в Программу на 2025-2027 годы вносятся в соответствии с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auto" w:val="clear"/>
          <w:lang w:val="ru-RU"/>
        </w:rPr>
        <w:t xml:space="preserve">решением Совета депутатов городского округа Фрязино 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от 17.06.2025 № 552/95 «О внесении изменений в решение Совета депутатов городского округа Фрязино от 17.12.2024 № 573/99 «О бюджете городского округа Фрязино на 2025 год и на плановый период 2026 и 2027 годов» с учетом изменений по сводной бюджетной росписи бюджета городского округа Фрязино на 10.09.2025 (далее — СБР).</w:t>
      </w:r>
    </w:p>
    <w:p>
      <w:pPr>
        <w:pStyle w:val="Normal"/>
        <w:spacing w:lineRule="auto" w:line="240" w:before="0" w:after="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113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auto" w:val="clear"/>
          <w:lang w:val="ru-RU"/>
        </w:rPr>
        <w:t xml:space="preserve">3.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ru-RU"/>
        </w:rPr>
        <w:t>Проектом постановления вносятся изменения в Паспорт действующей Программы на 2025 год (ред. от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en-US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ru-RU"/>
        </w:rPr>
        <w:t xml:space="preserve">05.03.2025 № 191 ):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</w:t>
      </w:r>
    </w:p>
    <w:tbl>
      <w:tblPr>
        <w:tblW w:w="10110" w:type="dxa"/>
        <w:jc w:val="left"/>
        <w:tblInd w:w="-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20"/>
        <w:gridCol w:w="2955"/>
        <w:gridCol w:w="3059"/>
        <w:gridCol w:w="1875"/>
      </w:tblGrid>
      <w:tr>
        <w:trPr/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ind w:left="0" w:right="-1479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Источники</w:t>
            </w:r>
          </w:p>
          <w:p>
            <w:pPr>
              <w:pStyle w:val="Normal"/>
              <w:widowControl w:val="false"/>
              <w:spacing w:lineRule="atLeast" w:line="220" w:before="0" w:after="1"/>
              <w:ind w:left="0" w:right="-1479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финансирования</w:t>
            </w:r>
          </w:p>
          <w:p>
            <w:pPr>
              <w:pStyle w:val="Normal"/>
              <w:widowControl w:val="false"/>
              <w:spacing w:lineRule="atLeast" w:line="220" w:before="0" w:after="1"/>
              <w:ind w:left="0" w:right="-1479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программы</w:t>
            </w:r>
          </w:p>
        </w:tc>
        <w:tc>
          <w:tcPr>
            <w:tcW w:w="7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Расходы (тыс. руб.) Программы</w:t>
            </w:r>
          </w:p>
        </w:tc>
      </w:tr>
      <w:tr>
        <w:trPr>
          <w:trHeight w:val="118" w:hRule="atLeast"/>
        </w:trPr>
        <w:tc>
          <w:tcPr>
            <w:tcW w:w="22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2025 год</w:t>
            </w:r>
          </w:p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действующ. редакция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2025 год</w:t>
            </w:r>
          </w:p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планируется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Разница</w:t>
            </w:r>
          </w:p>
        </w:tc>
      </w:tr>
      <w:tr>
        <w:trPr>
          <w:trHeight w:val="1069" w:hRule="exact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tLeast" w:line="220" w:before="0" w:after="1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Средства бюдже</w:t>
              <w:softHyphen/>
              <w:t>та Московской области</w:t>
            </w:r>
          </w:p>
          <w:p>
            <w:pPr>
              <w:pStyle w:val="Normal"/>
              <w:widowControl w:val="false"/>
              <w:spacing w:lineRule="atLeast" w:line="220" w:before="0" w:after="1"/>
              <w:ind w:left="0" w:right="-1479" w:hanging="0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tLeast" w:line="220" w:before="0" w:after="1"/>
              <w:ind w:left="0" w:right="-1479" w:hanging="0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819,0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819,0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0,0</w:t>
            </w:r>
          </w:p>
        </w:tc>
      </w:tr>
      <w:tr>
        <w:trPr>
          <w:trHeight w:val="403" w:hRule="atLeast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ind w:left="0" w:right="-1479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Средства бюджета</w:t>
            </w:r>
          </w:p>
          <w:p>
            <w:pPr>
              <w:pStyle w:val="Normal"/>
              <w:widowControl w:val="false"/>
              <w:spacing w:lineRule="atLeast" w:line="220" w:before="0" w:after="1"/>
              <w:ind w:left="0" w:right="-1479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городского округа</w:t>
            </w:r>
          </w:p>
          <w:p>
            <w:pPr>
              <w:pStyle w:val="Normal"/>
              <w:widowControl w:val="false"/>
              <w:spacing w:lineRule="atLeast" w:line="220" w:before="0" w:after="1"/>
              <w:ind w:left="0" w:right="-1479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Фрязино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78 621,3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79 979,9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</w:rPr>
              <w:t>+1 358,6</w:t>
            </w:r>
          </w:p>
        </w:tc>
      </w:tr>
      <w:tr>
        <w:trPr/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ind w:left="0" w:right="-1479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79 440,3</w:t>
            </w:r>
          </w:p>
        </w:tc>
        <w:tc>
          <w:tcPr>
            <w:tcW w:w="30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80 798,9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20" w:before="0" w:after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+1 358,6</w:t>
            </w:r>
          </w:p>
        </w:tc>
      </w:tr>
    </w:tbl>
    <w:p>
      <w:pPr>
        <w:pStyle w:val="Normal"/>
        <w:jc w:val="both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8"/>
          <w:u w:val="none"/>
          <w:shd w:fill="auto" w:val="clear"/>
          <w:em w:val="none"/>
          <w:lang w:val="ru-RU" w:eastAsia="ru-RU"/>
        </w:rPr>
        <w:t>Устанавливаемые проектом постановления показатели Программы на 2025 год соответствуют показателям СБР по состоянию на 10.09.2025.</w:t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8"/>
          <w:u w:val="none"/>
          <w:shd w:fill="auto" w:val="clear"/>
          <w:em w:val="none"/>
          <w:lang w:val="ru-RU" w:eastAsia="ru-RU"/>
        </w:rPr>
        <w:t>Показатели Программы на 2026 и 2027 годы  не изменились.</w:t>
      </w:r>
    </w:p>
    <w:p>
      <w:pPr>
        <w:pStyle w:val="Style18"/>
        <w:spacing w:lineRule="auto" w:line="240" w:before="0" w:after="0"/>
        <w:jc w:val="both"/>
        <w:rPr>
          <w:rFonts w:ascii="Times New Roman" w:hAnsi="Times New Roman" w:eastAsia="Calibri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8"/>
          <w:u w:val="none"/>
          <w:shd w:fill="auto" w:val="clear"/>
          <w:em w:val="none"/>
          <w:lang w:val="ru-RU" w:eastAsia="ru-RU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8"/>
          <w:u w:val="none"/>
          <w:shd w:fill="auto" w:val="clear"/>
          <w:em w:val="none"/>
          <w:lang w:val="ru-RU" w:eastAsia="ru-RU"/>
        </w:rPr>
      </w:r>
    </w:p>
    <w:p>
      <w:pPr>
        <w:pStyle w:val="Style18"/>
        <w:spacing w:lineRule="auto" w:line="240" w:before="0" w:after="57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8"/>
          <w:u w:val="none"/>
          <w:shd w:fill="auto" w:val="clear"/>
          <w:em w:val="none"/>
          <w:lang w:val="ru-RU" w:eastAsia="ru-RU"/>
        </w:rPr>
        <w:t>4. Изменения Программы касаются:</w:t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8"/>
          <w:u w:val="none"/>
          <w:shd w:fill="auto" w:val="clear"/>
          <w:em w:val="none"/>
          <w:lang w:val="ru-RU" w:eastAsia="ru-RU"/>
        </w:rPr>
        <w:t xml:space="preserve">4.1.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8"/>
          <w:u w:val="single"/>
          <w:shd w:fill="auto" w:val="clear"/>
          <w:em w:val="none"/>
          <w:lang w:val="ru-RU" w:eastAsia="ru-RU"/>
        </w:rPr>
        <w:t xml:space="preserve">Подпрограммы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single"/>
          <w:shd w:fill="auto" w:val="clear"/>
          <w:em w:val="none"/>
          <w:lang w:val="ru-RU" w:eastAsia="ru-RU" w:bidi="ar-SA"/>
        </w:rPr>
        <w:t>1 «Профилактика преступлений и иных правонарушений»</w:t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  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>Объем финансирования подпрограммы увеличивается на 951,7 тыс. руб. за счет средств местного бюджета, в том числе по мероприятиям:</w:t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- Мероприятие 01.03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zh-CN" w:bidi="ar-SA"/>
        </w:rPr>
        <w:t>«Оборудование и (или) модернизация социально – значимых объектов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укрепленности (закупка товаров, работ, услуг)» - перераспределение средств в размере 370,1 тыс. руб. между исполнителями: Администрация +370,1 тыс. руб., МФЦ -370,1 тыс. руб.</w:t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>- Мероприятия 04.01 «Оказание услуг по предоставлению видеоизображения для системы «Безопасный регион» с видеокамер, установленных в местах массового скопления людей, на дет</w:t>
      </w:r>
      <w:bookmarkStart w:id="0" w:name="_GoBack"/>
      <w:bookmarkEnd w:id="0"/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>ских игровых, спортивных площадках, социальных объектах, контейнерных площадках» - уменьшение финансирования на 548,0 тыс. руб.</w:t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>- Мероприятие 04.03 «Техническое обслуживание и модернизация оборудования системы «Безопасный регион» - увеличение на 1 499,7 тыс. руб.</w:t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>-  Мероприятие 07.04 «Расходы на обеспечение деятельности (оказание услуг) в сфере похоронного дела» -  увеличение на 200,0 тыс. руб.</w:t>
      </w:r>
    </w:p>
    <w:p>
      <w:pPr>
        <w:pStyle w:val="Style18"/>
        <w:spacing w:lineRule="auto" w:line="240" w:before="0" w:after="57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  <w:t>-  Мероприятие 07.06 «Зимние и летние работы по содержанию мест захоронений, текущий и капитальный ремонт основных фондов» - уменьшение на 200,0 тыс. руб.</w:t>
      </w:r>
    </w:p>
    <w:p>
      <w:pPr>
        <w:pStyle w:val="Normal"/>
        <w:widowControl/>
        <w:tabs>
          <w:tab w:val="clear" w:pos="720"/>
          <w:tab w:val="left" w:pos="1701" w:leader="none"/>
        </w:tabs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/>
          <w:b w:val="false"/>
          <w:bCs w:val="false"/>
          <w:kern w:val="0"/>
          <w:sz w:val="28"/>
          <w:szCs w:val="28"/>
          <w:lang w:val="ru-RU" w:eastAsia="en-US" w:bidi="ar-SA"/>
        </w:rPr>
        <w:t xml:space="preserve">4.2. 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single"/>
          <w:shd w:fill="auto" w:val="clear"/>
          <w:em w:val="none"/>
          <w:lang w:val="ru-RU" w:eastAsia="ru-RU" w:bidi="ar-SA"/>
        </w:rPr>
        <w:t xml:space="preserve">Подпрограммы 2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en-US" w:bidi="ar-SA"/>
        </w:rPr>
        <w:t>«О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2"/>
          <w:sz w:val="28"/>
          <w:szCs w:val="28"/>
          <w:u w:val="none"/>
          <w:shd w:fill="auto" w:val="clear"/>
          <w:em w:val="none"/>
          <w:lang w:val="ru-RU" w:eastAsia="en-US" w:bidi="ar-SA"/>
        </w:rPr>
        <w:t>беспечение мероприятий по защите населения и территорий от чрезвычайных ситуаций»</w:t>
      </w:r>
    </w:p>
    <w:p>
      <w:pPr>
        <w:pStyle w:val="Normal"/>
        <w:widowControl/>
        <w:tabs>
          <w:tab w:val="clear" w:pos="720"/>
          <w:tab w:val="left" w:pos="1701" w:leader="none"/>
        </w:tabs>
        <w:suppressAutoHyphens w:val="true"/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en-US" w:bidi="ar-SA"/>
        </w:rPr>
        <w:t>- Мероприятие 01.02 «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FFFFFF" w:val="clear"/>
          <w:em w:val="none"/>
          <w:lang w:val="ru-RU" w:eastAsia="ru-RU" w:bidi="ar-SA"/>
        </w:rPr>
        <w:t>Содержание и эксплуатация Системы-112» - увеличение на 407,0 тыс. руб.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1701" w:leader="none"/>
        </w:tabs>
        <w:suppressAutoHyphens w:val="true"/>
        <w:bidi w:val="0"/>
        <w:spacing w:lineRule="auto" w:line="240" w:before="0" w:after="0"/>
        <w:ind w:left="57" w:right="0" w:hanging="0"/>
        <w:contextualSpacing/>
        <w:jc w:val="both"/>
        <w:rPr>
          <w:rFonts w:ascii="Times New Roman" w:hAnsi="Times New Roman" w:eastAsia="Calibri" w:cs="Liberation Serif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</w:pPr>
      <w:r>
        <w:rPr>
          <w:rFonts w:eastAsia="Calibri" w:cs="Liberation Serif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kern w:val="0"/>
          <w:sz w:val="28"/>
          <w:szCs w:val="28"/>
          <w:u w:val="none"/>
          <w:shd w:fill="auto" w:val="clear"/>
          <w:em w:val="none"/>
          <w:lang w:val="ru-RU" w:eastAsia="ru-RU" w:bidi="ar-SA"/>
        </w:rPr>
      </w:r>
    </w:p>
    <w:p>
      <w:pPr>
        <w:pStyle w:val="Style18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8"/>
          <w:u w:val="none"/>
          <w:shd w:fill="auto" w:val="clear"/>
          <w:em w:val="none"/>
          <w:lang w:val="ru-RU" w:eastAsia="ru-RU"/>
        </w:rPr>
        <w:t xml:space="preserve">5. 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8"/>
          <w:u w:val="none"/>
          <w:shd w:fill="auto" w:val="clear"/>
          <w:em w:val="none"/>
          <w:lang w:val="ru-RU" w:eastAsia="ar-SA"/>
        </w:rPr>
        <w:t xml:space="preserve">Замечаний к проекту постановления нет. Показатели Программы на 2025 год приведены в соответствие с  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 w:themeColor="text1"/>
          <w:spacing w:val="-5"/>
          <w:sz w:val="28"/>
          <w:szCs w:val="28"/>
          <w:u w:val="none"/>
          <w:shd w:fill="auto" w:val="clear"/>
          <w:em w:val="none"/>
          <w:lang w:val="ru-RU" w:eastAsia="ar-SA"/>
        </w:rPr>
        <w:t xml:space="preserve">СБР по состоянию на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-5"/>
          <w:sz w:val="28"/>
          <w:szCs w:val="28"/>
          <w:u w:val="none"/>
          <w:shd w:fill="auto" w:val="clear"/>
          <w:em w:val="none"/>
          <w:lang w:val="ru-RU" w:eastAsia="ru-RU"/>
        </w:rPr>
        <w:t>10.09.2025.</w:t>
      </w:r>
    </w:p>
    <w:p>
      <w:pPr>
        <w:pStyle w:val="ConsPlusNormal"/>
        <w:bidi w:val="0"/>
        <w:spacing w:lineRule="auto" w:line="276"/>
        <w:ind w:left="0" w:right="0" w:hanging="0"/>
        <w:jc w:val="both"/>
        <w:rPr>
          <w:rFonts w:ascii="Times New Roman" w:hAnsi="Times New Roman" w:cs="Times New Roman"/>
          <w:sz w:val="28"/>
          <w:szCs w:val="28"/>
          <w:shd w:fill="auto" w:val="clear"/>
          <w:lang w:val="ru-RU"/>
        </w:rPr>
      </w:pP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</w:r>
    </w:p>
    <w:p>
      <w:pPr>
        <w:pStyle w:val="ConsPlusNormal"/>
        <w:bidi w:val="0"/>
        <w:ind w:left="0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  <w:shd w:fill="auto" w:val="clear"/>
          <w:lang w:val="ru-RU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  <w:shd w:fill="auto" w:val="clear"/>
          <w:lang w:val="ru-RU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i w:val="false"/>
          <w:iCs w:val="false"/>
          <w:sz w:val="28"/>
          <w:szCs w:val="28"/>
          <w:shd w:fill="auto" w:val="clear"/>
        </w:rPr>
        <w:t>Председатель Контрольно-счетной палаты                           Л.А. Панченко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</w:p>
    <w:sectPr>
      <w:headerReference w:type="default" r:id="rId2"/>
      <w:type w:val="nextPage"/>
      <w:pgSz w:w="11906" w:h="16838"/>
      <w:pgMar w:left="1200" w:right="686" w:gutter="0" w:header="652" w:top="1211" w:footer="0" w:bottom="66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rPr/>
    </w:pPr>
    <w:r>
      <w:rPr/>
      <w:t xml:space="preserve">                                                          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Style28"/>
      <w:rPr/>
    </w:pPr>
    <w:r>
      <w:rPr/>
    </w:r>
  </w:p>
  <w:p>
    <w:pPr>
      <w:pStyle w:val="Style28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Style17"/>
    <w:next w:val="Style18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2">
    <w:name w:val="Heading 2"/>
    <w:basedOn w:val="Style17"/>
    <w:next w:val="Style18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Style17"/>
    <w:next w:val="Style18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1">
    <w:name w:val="Основной шрифт абзаца"/>
    <w:qFormat/>
    <w:rPr/>
  </w:style>
  <w:style w:type="character" w:styleId="6">
    <w:name w:val="Основной шрифт абзаца6"/>
    <w:qFormat/>
    <w:rPr/>
  </w:style>
  <w:style w:type="character" w:styleId="5">
    <w:name w:val="Основной шрифт абзаца5"/>
    <w:qFormat/>
    <w:rPr/>
  </w:style>
  <w:style w:type="character" w:styleId="4">
    <w:name w:val="Основной шрифт абзаца4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31">
    <w:name w:val="Основной шрифт абзаца3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21">
    <w:name w:val="Основной шрифт абзаца2"/>
    <w:qFormat/>
    <w:rPr/>
  </w:style>
  <w:style w:type="character" w:styleId="WWAbsatzStandardschriftart1111">
    <w:name w:val="WW-Absatz-Standardschriftart1111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4">
    <w:name w:val="WW8Num4z4"/>
    <w:qFormat/>
    <w:rPr>
      <w:rFonts w:ascii="Courier New" w:hAnsi="Courier New" w:cs="Courier New"/>
    </w:rPr>
  </w:style>
  <w:style w:type="character" w:styleId="WW8Num4z5">
    <w:name w:val="WW8Num4z5"/>
    <w:qFormat/>
    <w:rPr>
      <w:rFonts w:ascii="Wingdings" w:hAnsi="Wingdings" w:cs="Wingdings"/>
    </w:rPr>
  </w:style>
  <w:style w:type="character" w:styleId="11">
    <w:name w:val="Основной шрифт абзаца1"/>
    <w:qFormat/>
    <w:rPr/>
  </w:style>
  <w:style w:type="character" w:styleId="Style12">
    <w:name w:val="Page Number"/>
    <w:basedOn w:val="11"/>
    <w:rPr/>
  </w:style>
  <w:style w:type="character" w:styleId="Style13">
    <w:name w:val="Символ нумерации"/>
    <w:qFormat/>
    <w:rPr/>
  </w:style>
  <w:style w:type="character" w:styleId="Style14">
    <w:name w:val="Hyperlink"/>
    <w:rPr>
      <w:color w:val="000080"/>
      <w:u w:val="single"/>
      <w:lang w:val="zxx" w:bidi="zxx"/>
    </w:rPr>
  </w:style>
  <w:style w:type="character" w:styleId="Style15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Style16">
    <w:name w:val="Маркеры"/>
    <w:qFormat/>
    <w:rPr>
      <w:rFonts w:ascii="OpenSymbol" w:hAnsi="OpenSymbol" w:eastAsia="OpenSymbol" w:cs="OpenSymbol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tyle18">
    <w:name w:val="Body Text"/>
    <w:basedOn w:val="Normal"/>
    <w:pPr>
      <w:spacing w:before="0" w:after="120"/>
    </w:pPr>
    <w:rPr/>
  </w:style>
  <w:style w:type="paragraph" w:styleId="Style19">
    <w:name w:val="List"/>
    <w:basedOn w:val="Style18"/>
    <w:pPr/>
    <w:rPr>
      <w:rFonts w:ascii="Arial" w:hAnsi="Arial" w:cs="Tahoma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Style22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61">
    <w:name w:val="Указатель6"/>
    <w:basedOn w:val="Normal"/>
    <w:qFormat/>
    <w:pPr>
      <w:suppressLineNumbers/>
    </w:pPr>
    <w:rPr>
      <w:rFonts w:cs="Mangal"/>
    </w:rPr>
  </w:style>
  <w:style w:type="paragraph" w:styleId="32">
    <w:name w:val="Название объекта3"/>
    <w:basedOn w:val="Style17"/>
    <w:next w:val="Style18"/>
    <w:qFormat/>
    <w:pPr>
      <w:jc w:val="center"/>
    </w:pPr>
    <w:rPr>
      <w:b/>
      <w:bCs/>
      <w:sz w:val="56"/>
      <w:szCs w:val="56"/>
    </w:rPr>
  </w:style>
  <w:style w:type="paragraph" w:styleId="51">
    <w:name w:val="Указатель5"/>
    <w:basedOn w:val="Normal"/>
    <w:qFormat/>
    <w:pPr>
      <w:suppressLineNumbers/>
    </w:pPr>
    <w:rPr>
      <w:rFonts w:cs="Mangal"/>
    </w:rPr>
  </w:style>
  <w:style w:type="paragraph" w:styleId="22">
    <w:name w:val="Название объекта2"/>
    <w:basedOn w:val="Style17"/>
    <w:next w:val="Style18"/>
    <w:qFormat/>
    <w:pPr>
      <w:jc w:val="center"/>
    </w:pPr>
    <w:rPr>
      <w:b/>
      <w:bCs/>
      <w:sz w:val="56"/>
      <w:szCs w:val="56"/>
    </w:rPr>
  </w:style>
  <w:style w:type="paragraph" w:styleId="41">
    <w:name w:val="Указатель4"/>
    <w:basedOn w:val="Normal"/>
    <w:qFormat/>
    <w:pPr>
      <w:suppressLineNumbers/>
    </w:pPr>
    <w:rPr>
      <w:rFonts w:cs="Mangal"/>
    </w:rPr>
  </w:style>
  <w:style w:type="paragraph" w:styleId="12">
    <w:name w:val="Название объекта1"/>
    <w:basedOn w:val="Normal"/>
    <w:qFormat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33">
    <w:name w:val="Указатель3"/>
    <w:basedOn w:val="Normal"/>
    <w:qFormat/>
    <w:pPr>
      <w:suppressLineNumbers/>
    </w:pPr>
    <w:rPr>
      <w:rFonts w:ascii="Arial" w:hAnsi="Arial" w:cs="Mangal"/>
    </w:rPr>
  </w:style>
  <w:style w:type="paragraph" w:styleId="23">
    <w:name w:val="Название2"/>
    <w:basedOn w:val="Normal"/>
    <w:qFormat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24">
    <w:name w:val="Указатель2"/>
    <w:basedOn w:val="Normal"/>
    <w:qFormat/>
    <w:pPr>
      <w:suppressLineNumbers/>
    </w:pPr>
    <w:rPr>
      <w:rFonts w:ascii="Arial" w:hAnsi="Arial" w:cs="Mangal"/>
    </w:rPr>
  </w:style>
  <w:style w:type="paragraph" w:styleId="13">
    <w:name w:val="Название1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14">
    <w:name w:val="Указатель1"/>
    <w:basedOn w:val="Normal"/>
    <w:qFormat/>
    <w:pPr>
      <w:suppressLineNumbers/>
    </w:pPr>
    <w:rPr>
      <w:rFonts w:ascii="Arial" w:hAnsi="Arial" w:cs="Tahoma"/>
    </w:rPr>
  </w:style>
  <w:style w:type="paragraph" w:styleId="Style23">
    <w:name w:val="Обычный (веб)"/>
    <w:basedOn w:val="Normal"/>
    <w:qFormat/>
    <w:pPr>
      <w:spacing w:before="30" w:after="30"/>
    </w:pPr>
    <w:rPr>
      <w:rFonts w:ascii="Arial" w:hAnsi="Arial" w:cs="Arial"/>
      <w:color w:val="332E2D"/>
      <w:spacing w:val="2"/>
    </w:rPr>
  </w:style>
  <w:style w:type="paragraph" w:styleId="HTML">
    <w:name w:val="Стандартный HTML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Style24">
    <w:name w:val="Body Text Indent"/>
    <w:basedOn w:val="Normal"/>
    <w:pPr>
      <w:widowControl w:val="false"/>
      <w:ind w:left="0" w:right="0" w:firstLine="485"/>
      <w:jc w:val="both"/>
    </w:pPr>
    <w:rPr/>
  </w:style>
  <w:style w:type="paragraph" w:styleId="311">
    <w:name w:val="Основной текст с отступом 31"/>
    <w:basedOn w:val="Normal"/>
    <w:qFormat/>
    <w:pPr>
      <w:widowControl w:val="false"/>
      <w:ind w:left="0" w:right="0" w:firstLine="488"/>
      <w:jc w:val="both"/>
    </w:pPr>
    <w:rPr/>
  </w:style>
  <w:style w:type="paragraph" w:styleId="Style2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zh-CN" w:bidi="ar-SA"/>
    </w:rPr>
  </w:style>
  <w:style w:type="paragraph" w:styleId="ConsPlusNonformat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0"/>
      <w:sz w:val="20"/>
      <w:szCs w:val="20"/>
      <w:lang w:val="ru-RU" w:eastAsia="zh-CN" w:bidi="ar-SA"/>
    </w:rPr>
  </w:style>
  <w:style w:type="paragraph" w:styleId="Style26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7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8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9">
    <w:name w:val="Документ"/>
    <w:basedOn w:val="Normal"/>
    <w:qFormat/>
    <w:pPr>
      <w:spacing w:lineRule="auto" w:line="360"/>
      <w:ind w:left="0" w:right="0" w:firstLine="709"/>
      <w:jc w:val="both"/>
    </w:pPr>
    <w:rPr>
      <w:sz w:val="28"/>
      <w:szCs w:val="20"/>
    </w:rPr>
  </w:style>
  <w:style w:type="paragraph" w:styleId="Style30">
    <w:name w:val="Содержимое врезки"/>
    <w:basedOn w:val="Style18"/>
    <w:qFormat/>
    <w:pPr/>
    <w:rPr/>
  </w:style>
  <w:style w:type="paragraph" w:styleId="Style31">
    <w:name w:val="Foot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32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Style33">
    <w:name w:val="Subtitle"/>
    <w:basedOn w:val="Style17"/>
    <w:next w:val="Style18"/>
    <w:qFormat/>
    <w:pPr>
      <w:spacing w:before="60" w:after="120"/>
      <w:jc w:val="center"/>
    </w:pPr>
    <w:rPr>
      <w:sz w:val="36"/>
      <w:szCs w:val="36"/>
    </w:rPr>
  </w:style>
  <w:style w:type="paragraph" w:styleId="Style34">
    <w:name w:val="Содержимое таблицы"/>
    <w:basedOn w:val="Normal"/>
    <w:qFormat/>
    <w:pPr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ConsPlusDocList">
    <w:name w:val="&#9;&#9;ConsPlusDocList"/>
    <w:next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zh-CN" w:bidi="hi-IN"/>
    </w:rPr>
  </w:style>
  <w:style w:type="paragraph" w:styleId="BodyTextIndent3">
    <w:name w:val="Body Text Indent 3"/>
    <w:basedOn w:val="Normal"/>
    <w:qFormat/>
    <w:pPr>
      <w:ind w:left="0" w:right="0" w:firstLine="709"/>
      <w:jc w:val="both"/>
    </w:pPr>
    <w:rPr>
      <w:sz w:val="26"/>
      <w:szCs w:val="26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1502</TotalTime>
  <Application>LibreOffice/7.4.1.2$Windows_X86_64 LibreOffice_project/3c58a8f3a960df8bc8fd77b461821e42c061c5f0</Application>
  <AppVersion>15.0000</AppVersion>
  <Pages>2</Pages>
  <Words>527</Words>
  <Characters>3589</Characters>
  <CharactersWithSpaces>4317</CharactersWithSpaces>
  <Paragraphs>46</Paragraphs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2023-03-06T10:06:00Z</dcterms:created>
  <dc:creator>Вера</dc:creator>
  <dc:description/>
  <dc:language>ru-RU</dc:language>
  <cp:lastModifiedBy/>
  <cp:lastPrinted>1995-11-21T17:41:00Z</cp:lastPrinted>
  <dcterms:modified xsi:type="dcterms:W3CDTF">2025-09-16T10:55:16Z</dcterms:modified>
  <cp:revision>124</cp:revision>
  <dc:subject/>
  <dc:title>"Бюджетный кодекс Российской Федерации" от 31.07.1998 N 145-ФЗ(ред. от 28.12.2022)(с изм. и доп., вступ. в силу с 01.01.2023)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