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Управления образования администрации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2.4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>в период с 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 по 25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Управления образования администрации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28.03.2025 № 12.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1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1.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Управление образования является отраслевым органом администрации городского округа Фрязино (далее - Администрация), осуществляющим управление в сфере образования городского округа Фрязино</w:t>
      </w:r>
      <w:r>
        <w:rPr>
          <w:rStyle w:val="Style15"/>
          <w:rFonts w:eastAsia="TimesNewRomanPSMT;MS Mincho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.</w:t>
      </w:r>
    </w:p>
    <w:p>
      <w:pPr>
        <w:pStyle w:val="Normal"/>
        <w:snapToGrid w:val="false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5"/>
          <w:rFonts w:eastAsia="TimesNewRomanPSMT;MS Mincho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Управление образование является администратором доходов и главным распорядителем бюджетных средств для подведомственных учреждений.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Ведение бухгалтерского, бюджетного, налогового и статистического учета и отчетности Управления образования и подведомственных ему учреждений осуществлял </w:t>
      </w:r>
      <w:r>
        <w:rPr>
          <w:rStyle w:val="Style14"/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МКУ города Фрязино «Центр бюджетного сопровождения» (далее - МКУ ЦБС)</w:t>
      </w: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на основании Соглашений.</w:t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3"/>
          <w:rFonts w:eastAsia="Times New Roman"/>
          <w:bCs w:val="false"/>
          <w:iCs w:val="false"/>
          <w:outline w:val="false"/>
          <w:shadow w:val="false"/>
          <w:color w:val="000000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Основанием для проведения внешней проверки годовой бюджетной  отчетности главного администратора бюджетных средств — Контрольно- счетной палаты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является статья 264.4 Бюджетного Кодекса Российской Федерации, статьи 9,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15 Положения «О бюджетном процессе в городском округе Фрязино Московской области», утвержденного решением Совета депутатов города Фрязино от 15.02.2021 № 45/12, статьи 9, 11 Положения «О Контрольно-счетной палате городского округа Фрязино», утвержденного решением Совета депутатов городского округа Фрязино от 15.10.2021 № 105/24 (с изм).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2.  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Приказом Министерства финансов РФ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от 23.12.2010 № 191н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(далее — Инструкция № 191н).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В нарушение пунктов 11.1 и 152 Инструкции № 191н   к настоящей проверке не представлены формы: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Справка о суммах консолидируемых поступлений, подлежащих зачислению на счет бюджета (ф. 0503184);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57"/>
        <w:ind w:left="0" w:right="0" w:firstLine="737"/>
        <w:jc w:val="both"/>
        <w:rPr>
          <w:rFonts w:ascii="Times New Roman" w:hAnsi="Times New Roman" w:cs="Times New Roman"/>
          <w:bCs w:val="false"/>
          <w:iCs w:val="false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>- Сведения об исполнении мероприятий в рамках целевых программ (ф. 0503166).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  </w:t>
      </w:r>
      <w:r>
        <w:rPr>
          <w:rFonts w:cs="Times New Roman" w:ascii="Times New Roman" w:hAnsi="Times New Roman"/>
          <w:bCs w:val="false"/>
          <w:iCs w:val="false"/>
          <w:color w:val="000000"/>
          <w:sz w:val="28"/>
          <w:szCs w:val="28"/>
          <w:shd w:fill="auto" w:val="clear"/>
        </w:rPr>
        <w:t xml:space="preserve">Отсутствие данных формы не отражено в Пояснительной записке (ф. 0503160).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Кроме того, в нарушение пункта 152 Инструкции № 191н   к проверке представлена форма Сведения о количестве подведомственных участников бюджетного процесса, учреждений и государственных (муниципальных) унитарных предприятий (ф. 0503161), исключенная из представляемых форм Приказом Минфина России от 31.01.2020 N 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N 191н".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     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нарушение пункта 155 Инструкции № 191н к проверке  не представлены Таблица № 3 «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Сведения об исполнении текстовых статей закона (решения) о бюджете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» Пояснительной записки. В текстовой части пояснительной записки отражены не все показатели данной таблицы.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В нарушение пункта 159.6 Инструкции № 191н к проверке  не представлены Таблица № 13 «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Анализ отчета об исполнении бюджета субъектом бюджетной отчетности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» Пояснительной записки.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нарушение пункта 159.7 Инструкции № 191н к проверке  не представлены Таблица № 14 «Анализ показателей отчетности субъекта бюджетной отчетности» Пояснительной записки.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3.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kern w:val="2"/>
          <w:position w:val="0"/>
          <w:sz w:val="25"/>
          <w:sz w:val="28"/>
          <w:szCs w:val="28"/>
          <w:highlight w:val="white"/>
          <w:shd w:fill="auto" w:val="clear"/>
          <w:vertAlign w:val="baseline"/>
          <w:em w:val="none"/>
          <w:lang w:val="ru-RU" w:eastAsia="ru-RU" w:bidi="hi-IN"/>
        </w:rPr>
        <w:t>Бюджетная отчетность Управления образования по подведомственным учреждениям соответствует требованиям  приказа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</w:p>
    <w:p>
      <w:pPr>
        <w:pStyle w:val="Normal"/>
        <w:spacing w:lineRule="auto" w:line="240"/>
        <w:ind w:left="0" w:right="0" w:firstLine="540"/>
        <w:jc w:val="both"/>
        <w:rPr/>
      </w:pPr>
      <w:r>
        <w:rPr>
          <w:rStyle w:val="Style13"/>
          <w:rFonts w:eastAsia="Arial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При проверке формы «Сведения по дебиторской и кредиторской задолженности учреждения» (дебиторская) (ф. 0503769) установлено, что в отчетности учреждений не отражены начисления по представлениям Контрольно-счетной палаты по счету 20900000 «</w:t>
      </w: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Расчеты по ущербу и иным доходам», а именно: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10.09.2019 № 01-20/17 МБОО СОШ № 3 (МДОУ №3) не отражена дебиторская задолженность на 01.01.2024 в сумме 586 049,36 руб. и на 01.01.2025 — 267 049,36 руб.;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28.04.2022 № 01-13/10 МБОО СОШ № 3  не отражена дебиторская задолженность на 01.01.2024 в сумме 694 573,10 руб. и на 01.01.2025 — 694 573,10 руб.;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26.04.2022 № 01-13/09 МБОО СОШ № 5  не отражена дебиторская задолженность на 01.01.2024 в сумме 233 885,56 руб. и на 01.01.2025 — 114 436,55 руб.;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28.04.2022 № 01-13/11 МБОО «Гимназия»  не отражена дебиторская задолженность на 01.01.2024 в сумме 453 976,72 руб. и на 01.01.2025 — 453 976,72 руб.;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spacing w:lineRule="auto" w:line="240" w:before="0" w:after="0"/>
        <w:ind w:left="-15" w:right="0" w:hanging="45"/>
        <w:jc w:val="both"/>
        <w:rPr/>
      </w:pPr>
      <w:r>
        <w:rPr>
          <w:rFonts w:eastAsia="Times New Roman" w:cs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eastAsia="ru-RU"/>
        </w:rPr>
        <w:t xml:space="preserve">    </w:t>
      </w: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05.03.2024 № 01-13/04 МБОО «Лицей»  не отражена дебиторская задолженность на 01.01.2024 в сумме 0 руб. и на 01.01.2025 — 308 149,75 руб.;</w:t>
      </w:r>
    </w:p>
    <w:p>
      <w:pPr>
        <w:pStyle w:val="Normal"/>
        <w:ind w:left="0" w:right="0" w:hanging="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>- по Представлению от 16.06.2021 № 01-20/12 МУ ДО «ЦДТ»  не отражена дебиторская задолженность на 01.01.2024 в сумме 19 793,11 руб. и на 01.01.2025 — 4 995,49 руб.</w:t>
      </w:r>
    </w:p>
    <w:p>
      <w:pPr>
        <w:pStyle w:val="Normal"/>
        <w:ind w:left="0" w:right="0" w:firstLine="540"/>
        <w:jc w:val="both"/>
        <w:rPr/>
      </w:pPr>
      <w:r>
        <w:rPr>
          <w:rStyle w:val="Style13"/>
          <w:rFonts w:eastAsia="Arial"/>
          <w:bCs/>
          <w:iCs/>
          <w:color w:val="000000"/>
          <w:sz w:val="28"/>
          <w:szCs w:val="28"/>
          <w:highlight w:val="white"/>
          <w:shd w:fill="auto" w:val="clear"/>
          <w:lang w:eastAsia="ru-RU"/>
        </w:rPr>
        <w:t xml:space="preserve">Таким образом,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по состоянию на 01.01.2024 занижен показатель по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счету 20900000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(ф. 0503769) и показатель графы 4 строки 250 Баланса (ф. 0503730)  на сумму 1 988 277,85 руб.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и на 01.01.2025 занижен показатель по </w:t>
      </w:r>
      <w:r>
        <w:rPr>
          <w:rStyle w:val="Style13"/>
          <w:rFonts w:eastAsia="Arial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счету 20900000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(ф. 0503769) и показатель графы 8 строки 250 Баланса (ф. 0503730)  на сумму 1 843 180,97 руб.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spacing w:lineRule="auto" w:line="240" w:before="0" w:after="57"/>
        <w:ind w:left="-15" w:right="0" w:hanging="45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   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highlight w:val="white"/>
          <w:u w:val="none"/>
          <w:shd w:fill="auto" w:val="clear"/>
          <w:em w:val="none"/>
          <w:lang w:eastAsia="ru-RU"/>
        </w:rPr>
        <w:t xml:space="preserve">Данные нарушения обусловлены не предоставлением (предоставлением не в полном объеме) в МКУ ЦБС учреждениями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z w:val="28"/>
          <w:szCs w:val="28"/>
          <w:highlight w:val="white"/>
          <w:shd w:fill="auto" w:val="clear"/>
          <w:em w:val="none"/>
          <w:lang w:eastAsia="ru-RU"/>
        </w:rPr>
        <w:t>первичных документов (приказов) об удержании денежных средств из заработной платы сотрудников либо о возмещении средств в бюджет городского округа за счет остатков средств на счетах учреждений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z w:val="28"/>
          <w:szCs w:val="28"/>
          <w:highlight w:val="white"/>
          <w:u w:val="none"/>
          <w:shd w:fill="auto" w:val="clear"/>
          <w:em w:val="none"/>
          <w:lang w:eastAsia="ru-RU"/>
        </w:rPr>
        <w:t>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/>
      </w:pPr>
      <w:r>
        <w:rPr>
          <w:rFonts w:eastAsia="Times New Roman"/>
          <w:spacing w:val="8"/>
          <w:sz w:val="28"/>
          <w:szCs w:val="28"/>
          <w:shd w:fill="auto" w:val="clear"/>
        </w:rPr>
        <w:t xml:space="preserve"> </w:t>
      </w:r>
      <w:r>
        <w:rPr>
          <w:rFonts w:eastAsia="Times New Roman" w:ascii="Times New Roman" w:hAnsi="Times New Roman"/>
          <w:spacing w:val="8"/>
          <w:sz w:val="28"/>
          <w:szCs w:val="28"/>
          <w:shd w:fill="auto" w:val="clear"/>
        </w:rPr>
        <w:t xml:space="preserve">  </w:t>
      </w:r>
      <w:r>
        <w:rPr>
          <w:rFonts w:eastAsia="Times New Roman" w:ascii="Times New Roman" w:hAnsi="Times New Roman"/>
          <w:spacing w:val="8"/>
          <w:sz w:val="28"/>
          <w:szCs w:val="28"/>
          <w:shd w:fill="auto" w:val="clear"/>
        </w:rPr>
        <w:t xml:space="preserve">4. </w:t>
      </w:r>
      <w:r>
        <w:rPr>
          <w:rFonts w:eastAsia="Arial" w:ascii="Times New Roman" w:hAnsi="Times New Roman"/>
          <w:spacing w:val="8"/>
          <w:sz w:val="28"/>
          <w:szCs w:val="28"/>
          <w:shd w:fill="auto" w:val="clear"/>
        </w:rPr>
        <w:t>К настоящей проверке представлены документы по результатам инвентаризации 2024 года: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инвентаризационные описи № 1, №5, №6 по объектам нефинансовых активов (ф. 0504087)  на 01.10.2024;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Акт №12 о результатах инвентаризации (дебиторской задолженности) (ф. 0510463) от 15.01.2025;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инвентаризационная опись № 9 расчетов по поступлениям (ф. 0510468)  на 09.01.2025. В пункте 1.1 Расчеты по доходам (поступлениям) по данным</w:t>
      </w:r>
      <w:r>
        <w:rPr>
          <w:rFonts w:eastAsia="Arial"/>
          <w:spacing w:val="8"/>
          <w:sz w:val="28"/>
          <w:szCs w:val="28"/>
          <w:shd w:fill="auto" w:val="clear"/>
          <w:lang w:val="ru-RU"/>
        </w:rPr>
        <w:t xml:space="preserve"> </w:t>
      </w: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бухгалтерского учета (дебиторская задолженность) указаны, в том числе, следующие суммы задолженности: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по счету 1 302 26 (Расчеты по прочим работам, услугам) — 228 516,34 руб.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по счету 1 302 62 (Расчеты по пособиям по социальной помощи населению в денежной форме) — 29 061,36 руб.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/>
          <w:spacing w:val="8"/>
          <w:sz w:val="28"/>
          <w:szCs w:val="28"/>
          <w:shd w:fill="auto" w:val="clear"/>
          <w:lang w:val="ru-RU"/>
        </w:rPr>
      </w:pPr>
      <w:r>
        <w:rPr>
          <w:rFonts w:eastAsia="Arial" w:ascii="Times New Roman" w:hAnsi="Times New Roman"/>
          <w:spacing w:val="8"/>
          <w:sz w:val="28"/>
          <w:szCs w:val="28"/>
          <w:shd w:fill="auto" w:val="clear"/>
          <w:lang w:val="ru-RU"/>
        </w:rPr>
        <w:t>- по счету 1 303 05 (Расчеты по прочим платежам в бюджет) — 423 662,95 руб.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Arial" w:cs="Times New Roman"/>
          <w:b w:val="false"/>
          <w:i w:val="false"/>
          <w:i w:val="false"/>
          <w:color w:val="00000A"/>
          <w:spacing w:val="8"/>
          <w:sz w:val="28"/>
          <w:szCs w:val="28"/>
          <w:u w:val="none"/>
          <w:shd w:fill="auto" w:val="clear"/>
          <w:lang w:val="ru-RU"/>
        </w:rPr>
      </w:pPr>
      <w:r>
        <w:rPr>
          <w:rFonts w:eastAsia="Arial" w:cs="Times New Roman" w:ascii="Times New Roman" w:hAnsi="Times New Roman"/>
          <w:b w:val="false"/>
          <w:i w:val="false"/>
          <w:color w:val="00000A"/>
          <w:spacing w:val="8"/>
          <w:sz w:val="28"/>
          <w:szCs w:val="28"/>
          <w:u w:val="none"/>
          <w:shd w:fill="auto" w:val="clear"/>
          <w:lang w:val="ru-RU"/>
        </w:rPr>
        <w:t>- по счету 1 401 49 (Доходы будущих периодов к признанию в очередные года) — 2 055 034 628,83 руб.</w:t>
      </w:r>
    </w:p>
    <w:p>
      <w:pPr>
        <w:pStyle w:val="Normal"/>
        <w:widowControl w:val="false"/>
        <w:tabs>
          <w:tab w:val="clear" w:pos="720"/>
          <w:tab w:val="left" w:pos="2552" w:leader="none"/>
          <w:tab w:val="left" w:pos="4111" w:leader="none"/>
        </w:tabs>
        <w:ind w:left="-15" w:right="0" w:hanging="45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000000"/>
          <w:spacing w:val="8"/>
          <w:sz w:val="28"/>
          <w:szCs w:val="28"/>
          <w:u w:val="none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pacing w:val="8"/>
          <w:sz w:val="28"/>
          <w:szCs w:val="28"/>
          <w:u w:val="none"/>
          <w:shd w:fill="auto" w:val="clear"/>
          <w:lang w:val="ru-RU" w:eastAsia="ru-RU"/>
        </w:rPr>
        <w:t>- по счету 1 401 60 (Резервы предстоящих расходов) — 613 767,45 руб.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Однако, согласно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Сведениям по дебиторской и кредиторской задолженности (ф. 0503169), данные суммы задолженности должны быть отражены в пункте 1.2 Расчеты по доходам (поступлениям) (ф. 0510468) по данным бухгалтерского учета (кредиторская задолженность).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                                                   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19"/>
    <w:next w:val="Style20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6">
    <w:name w:val="FollowedHyperlink"/>
    <w:rPr>
      <w:color w:val="8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4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4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7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2">
    <w:name w:val="Объект со стрелко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Объект с тенью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без заливки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 и лини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Выравнивание текста по ширине"/>
    <w:basedOn w:val="Style31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1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1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Размерная линия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39">
    <w:name w:val="Фон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Примечания"/>
    <w:qFormat/>
    <w:pPr>
      <w:widowControl/>
      <w:suppressAutoHyphens w:val="true"/>
      <w:overflowPunct w:val="tru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1">
    <w:name w:val="Body Text Indent"/>
    <w:basedOn w:val="Normal"/>
    <w:pPr>
      <w:ind w:left="-360" w:right="0" w:hanging="0"/>
    </w:pPr>
    <w:rPr/>
  </w:style>
  <w:style w:type="paragraph" w:styleId="Style42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4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3">
    <w:name w:val="Текст выноски"/>
    <w:basedOn w:val="Normal"/>
    <w:next w:val="Style30"/>
    <w:qFormat/>
    <w:pPr/>
    <w:rPr>
      <w:rFonts w:ascii="Tahoma" w:hAnsi="Tahoma" w:cs="Tahoma"/>
      <w:sz w:val="16"/>
      <w:szCs w:val="16"/>
    </w:rPr>
  </w:style>
  <w:style w:type="paragraph" w:styleId="Style44">
    <w:name w:val="Верхний колонтитул слева"/>
    <w:basedOn w:val="Style43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29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10540</TotalTime>
  <Application>LibreOffice/7.5.7.1$Windows_X86_64 LibreOffice_project/47eb0cf7efbacdee9b19ae25d6752381ede23126</Application>
  <AppVersion>15.0000</AppVersion>
  <Pages>4</Pages>
  <Words>999</Words>
  <Characters>6458</Characters>
  <CharactersWithSpaces>7694</CharactersWithSpaces>
  <Paragraphs>42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2025-05-12T10:15:20Z</dcterms:modified>
  <cp:revision>460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