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результатах контрольного мероприятия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нешняя проверка бюджетной отчетности главного администратора бюджетных средств — Контрольно-счетной палаты 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городского округа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</w:tabs>
        <w:snapToGrid w:val="fals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унктом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8"/>
          <w:kern w:val="2"/>
          <w:sz w:val="28"/>
          <w:szCs w:val="28"/>
          <w:lang w:val="ru-RU" w:eastAsia="hi-IN" w:bidi="hi-IN"/>
        </w:rPr>
        <w:t xml:space="preserve"> 2.7 Плана работы Контрольно-счетной палаты городского округа Фрязино, утвержденного распоряжением предсе</w:t>
        <w:softHyphen/>
        <w:t>дателя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 Контрольно-счетной палаты от  20.12.2024  № 60, </w:t>
      </w:r>
      <w:r>
        <w:rPr>
          <w:rFonts w:cs="Times New Roman" w:ascii="Times New Roman" w:hAnsi="Times New Roman"/>
          <w:sz w:val="28"/>
          <w:szCs w:val="28"/>
        </w:rPr>
        <w:t>в период с 14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 23</w:t>
      </w:r>
      <w:r>
        <w:rPr>
          <w:rFonts w:cs="Times New Roman" w:ascii="Times New Roman" w:hAnsi="Times New Roman"/>
          <w:sz w:val="28"/>
          <w:szCs w:val="28"/>
        </w:rPr>
        <w:t xml:space="preserve"> апреля 2025 года Контрольно-счетной палатой проведено контрольное мероприятие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нешняя проверка бюджетной отчетности главного администратора бюджетных средств — Контрольно-счетной палаты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 (далее — контрольное ме</w:t>
        <w:softHyphen/>
        <w:t>роприятие).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ab/>
        <w:t xml:space="preserve">Контрольное мероприятие проводилось согласно программе, утвержденной распоряжением председателя Контрольно-счетной палаты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 28.03.2025 № 11.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  <w:tab/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position w:val="0"/>
          <w:sz w:val="25"/>
          <w:sz w:val="28"/>
          <w:szCs w:val="28"/>
          <w:shd w:fill="auto" w:val="clear"/>
          <w:vertAlign w:val="baseline"/>
          <w:em w:val="none"/>
          <w:lang w:eastAsia="ru-RU" w:bidi="hi-IN"/>
        </w:rPr>
        <w:t xml:space="preserve"> 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/>
      </w:pP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 xml:space="preserve">       </w:t>
      </w: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>В результате контрольного мероприятия установлено: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/>
          <w:b/>
          <w:bCs/>
          <w:i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r>
    </w:p>
    <w:p>
      <w:pPr>
        <w:pStyle w:val="Style41"/>
        <w:widowControl/>
        <w:suppressAutoHyphens w:val="true"/>
        <w:bidi w:val="0"/>
        <w:spacing w:lineRule="auto" w:line="240" w:before="0" w:after="57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1.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 соответствии со статьей 30 Устава г.о Фрязино, п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ринятого решением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Совета депутатов от 01.03.2000 № 19 (с изм.), Контрольно-счетная палата городского округа Фрязино (далее — Контрольно-счетная палата)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8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я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вляется постоянно действующим органом внешнего муниципального финансового контроля, обладает правами юридического лица.</w:t>
      </w:r>
    </w:p>
    <w:p>
      <w:pPr>
        <w:pStyle w:val="Style41"/>
        <w:widowControl/>
        <w:suppressAutoHyphens w:val="true"/>
        <w:bidi w:val="0"/>
        <w:spacing w:lineRule="auto" w:line="240" w:before="0" w:after="57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Ведение бухгалтерского учета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Контрольно-счетная палаты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8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передано МКУ города Фрязино «Центр бюджетного сопровождения» (далее — МКУ ЦБС) на  основании Соглашения № 3 от 15.12.2016.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57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Основанием для проведения внешней проверки годовой бюджетной  отчетности главного администратора бюджетных средств — Контрольно- счетной палаты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является статья 264.4 Бюджетного Кодекса Российской Федерации, статьи 9,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статья 15 Положения «О бюджетном процессе в городском округе Фрязино Московской области», утвержденного решением Совета депутатов города Фрязино от 15.02.2021 № 45/12, статьи 9, 11 Положения «О Контрольно-счетной палате городского округа Фрязино», утвержденного решением Совета депутатов городского округа Фрязино от 15.10.2021 № 105/24 (с изм).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2.  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Приказом Министерства финансов РФ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от 23.12.2010 № 191н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>
        <w:rPr>
          <w:rStyle w:val="Style13"/>
          <w:rFonts w:eastAsia="Arial" w:cs="Times New Roman" w:ascii="Times New Roman" w:hAnsi="Times New Roman"/>
          <w:bCs/>
          <w:iCs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(далее — Инструкция № 191н).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В нарушение пунктов 11.1 и 152 Инструкции № 191н   к настоящей проверке не представлены формы: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- Справка о суммах консолидируемых поступлений, подлежащих зачислению на счет бюджета (ф. 0503184);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57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- Сведения об исполнении мероприятий в рамках целевых программ (ф. 0503166).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 xml:space="preserve">Отсутствие данных формы не отражено в Пояснительной записке (ф. 0503160).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  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Кроме того, в нарушение пункта 152 Инструкции № 191н   к проверке представлена форма Сведения о количестве подведомственных участников бюджетного процесса, учреждений и государственных (муниципальных) унитарных предприятий (ф. 0503161), исключенная из представляемых форм Приказом Минфина России от 31.01.2020 N 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N 191н".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                                                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Л.А. Панченко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335" w:right="656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ucida San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>
        <w:rStyle w:val="Style13"/>
        <w:rFonts w:eastAsia="Times New Roman"/>
        <w:b/>
        <w:bCs/>
        <w:iCs w:val="false"/>
        <w:outline w:val="false"/>
        <w:shadow w:val="false"/>
        <w:color w:val="000000"/>
        <w:kern w:val="2"/>
        <w:position w:val="0"/>
        <w:sz w:val="25"/>
        <w:sz w:val="28"/>
        <w:szCs w:val="28"/>
        <w:vertAlign w:val="baseline"/>
        <w:em w:val="none"/>
        <w:lang w:val="ru-RU" w:eastAsia="ru-RU" w:bidi="hi-IN"/>
      </w:rPr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6">
    <w:name w:val="Heading 6"/>
    <w:basedOn w:val="Style19"/>
    <w:next w:val="Style20"/>
    <w:qFormat/>
    <w:pPr>
      <w:spacing w:before="60" w:after="60"/>
      <w:outlineLvl w:val="5"/>
    </w:pPr>
    <w:rPr>
      <w:rFonts w:ascii="Liberation Serif" w:hAnsi="Liberation Serif" w:eastAsia="NSimSun" w:cs="Lucida Sans"/>
      <w:b/>
      <w:bCs/>
      <w:sz w:val="14"/>
      <w:szCs w:val="14"/>
    </w:rPr>
  </w:style>
  <w:style w:type="character" w:styleId="Style13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tyle14">
    <w:name w:val="Emphasis"/>
    <w:qFormat/>
    <w:rPr>
      <w:i/>
      <w:iCs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2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b/>
      <w:sz w:val="28"/>
      <w:szCs w:val="28"/>
    </w:rPr>
  </w:style>
  <w:style w:type="character" w:styleId="WW8Num4z1">
    <w:name w:val="WW8Num4z1"/>
    <w:qFormat/>
    <w:rPr>
      <w:b w:val="false"/>
      <w:sz w:val="28"/>
      <w:szCs w:val="28"/>
    </w:rPr>
  </w:style>
  <w:style w:type="character" w:styleId="Strong">
    <w:name w:val="Strong"/>
    <w:basedOn w:val="Style17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1">
    <w:name w:val="s1"/>
    <w:basedOn w:val="DefaultParagraphFont"/>
    <w:qFormat/>
    <w:rPr/>
  </w:style>
  <w:style w:type="character" w:styleId="Style16">
    <w:name w:val="FollowedHyperlink"/>
    <w:rPr>
      <w:color w:val="800080"/>
      <w:u w:val="single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character" w:styleId="Strong1">
    <w:name w:val="Strong1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ef1edeee2edeee9f2e5eaf1f2f1eef2f1f2f3efeeec">
    <w:name w:val="Оceсf1нedоeeвe2нedоeeйe9 тf2еe5кeaсf1тf2 сf1 оeeтf2сf1тf2уf3пefоeeмec"/>
    <w:basedOn w:val="Normal"/>
    <w:next w:val="Style24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Style24">
    <w:name w:val="Цитата"/>
    <w:basedOn w:val="Normal"/>
    <w:next w:val="BodyText2"/>
    <w:qFormat/>
    <w:pPr>
      <w:ind w:left="567" w:right="-199" w:hanging="0"/>
    </w:pPr>
    <w:rPr>
      <w:sz w:val="24"/>
    </w:rPr>
  </w:style>
  <w:style w:type="paragraph" w:styleId="BodyText2">
    <w:name w:val="Body Text 2"/>
    <w:basedOn w:val="Normal"/>
    <w:next w:val="Style27"/>
    <w:qFormat/>
    <w:pPr/>
    <w:rPr/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next w:val="Cef1edeee2edeee9f2e5eaf1f2f1eef2f1f2f3efeeec"/>
    <w:pPr>
      <w:suppressLineNumbers/>
      <w:tabs>
        <w:tab w:val="clear" w:pos="720"/>
        <w:tab w:val="center" w:pos="4845" w:leader="none"/>
        <w:tab w:val="right" w:pos="9690" w:leader="none"/>
      </w:tabs>
    </w:pPr>
    <w:rPr/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Обычный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ru-RU" w:eastAsia="zh-CN" w:bidi="hi-IN"/>
    </w:rPr>
  </w:style>
  <w:style w:type="paragraph" w:styleId="Style32">
    <w:name w:val="Объект со стрелко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3">
    <w:name w:val="Объект с тенью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4">
    <w:name w:val="Объект без заливки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5">
    <w:name w:val="Объект без заливки и лини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6">
    <w:name w:val="Выравнивание текста по ширине"/>
    <w:basedOn w:val="Style31"/>
    <w:qFormat/>
    <w:pPr>
      <w:spacing w:lineRule="atLeast" w:line="200" w:before="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1">
    <w:name w:val="Заглавие1"/>
    <w:basedOn w:val="Style31"/>
    <w:qFormat/>
    <w:pPr>
      <w:spacing w:lineRule="atLeast" w:line="200" w:before="0" w:after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2">
    <w:name w:val="Заглавие2"/>
    <w:basedOn w:val="Style31"/>
    <w:qFormat/>
    <w:pPr>
      <w:spacing w:lineRule="atLeast" w:line="200" w:before="57" w:after="57"/>
      <w:ind w:left="0" w:right="113" w:hanging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7">
    <w:name w:val="Размерная линия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overflowPunct w:val="fals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overflowPunct w:val="fals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000000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tyle38">
    <w:name w:val="Объекты фон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39">
    <w:name w:val="Фон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40">
    <w:name w:val="Примечания"/>
    <w:qFormat/>
    <w:pPr>
      <w:widowControl/>
      <w:suppressAutoHyphens w:val="true"/>
      <w:overflowPunct w:val="fals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overflowPunct w:val="fals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21">
    <w:name w:val="Структура 2"/>
    <w:basedOn w:val="1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3">
    <w:name w:val="Структура 3"/>
    <w:basedOn w:val="21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4">
    <w:name w:val="Структура 4"/>
    <w:basedOn w:val="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5">
    <w:name w:val="Структура 5"/>
    <w:basedOn w:val="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1">
    <w:name w:val="Структура 6"/>
    <w:basedOn w:val="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1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Style41">
    <w:name w:val="Body Text Indent"/>
    <w:basedOn w:val="Normal"/>
    <w:pPr>
      <w:ind w:left="-360" w:right="0" w:hanging="0"/>
    </w:pPr>
    <w:rPr/>
  </w:style>
  <w:style w:type="paragraph" w:styleId="Style42">
    <w:name w:val="Обычный (веб)"/>
    <w:basedOn w:val="Normal"/>
    <w:next w:val="ListParagraph"/>
    <w:qFormat/>
    <w:pPr>
      <w:widowControl/>
      <w:tabs>
        <w:tab w:val="clear" w:pos="720"/>
      </w:tabs>
      <w:spacing w:before="100" w:after="100"/>
      <w:ind w:left="0" w:right="0" w:hanging="0"/>
      <w:jc w:val="left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next w:val="213e34354036383c3e354230313b38464b"/>
    <w:qFormat/>
    <w:pPr>
      <w:ind w:left="720" w:right="0" w:hanging="0"/>
    </w:pPr>
    <w:rPr/>
  </w:style>
  <w:style w:type="paragraph" w:styleId="213e34354036383c3e354230313b38464b">
    <w:name w:val="С21о3eд34е35р40ж36и38м3cо3eе35 т42а30б31л3bи38ц46ы4b"/>
    <w:basedOn w:val="Normal"/>
    <w:next w:val="Style44"/>
    <w:qFormat/>
    <w:pPr>
      <w:suppressLineNumbers/>
      <w:suppressAutoHyphens w:val="false"/>
    </w:pPr>
    <w:rPr>
      <w:rFonts w:ascii="Liberation Serif;Times New Roman" w:hAnsi="Liberation Serif;Times New Roman" w:eastAsia="Times New Roman" w:cs="Liberation Serif;Times New Roman"/>
      <w:color w:val="000000"/>
      <w:sz w:val="24"/>
      <w:lang w:eastAsia="zh-CN"/>
    </w:rPr>
  </w:style>
  <w:style w:type="paragraph" w:styleId="Style43">
    <w:name w:val="Текст выноски"/>
    <w:basedOn w:val="Normal"/>
    <w:next w:val="Style30"/>
    <w:qFormat/>
    <w:pPr/>
    <w:rPr>
      <w:rFonts w:ascii="Tahoma" w:hAnsi="Tahoma" w:cs="Tahoma"/>
      <w:sz w:val="16"/>
      <w:szCs w:val="16"/>
    </w:rPr>
  </w:style>
  <w:style w:type="paragraph" w:styleId="Style44">
    <w:name w:val="Верхний колонтитул слева"/>
    <w:basedOn w:val="Style43"/>
    <w:qFormat/>
    <w:pPr>
      <w:suppressLineNumbers/>
      <w:tabs>
        <w:tab w:val="clear" w:pos="720"/>
        <w:tab w:val="center" w:pos="5069" w:leader="none"/>
        <w:tab w:val="left" w:pos="8505" w:leader="none"/>
        <w:tab w:val="right" w:pos="10139" w:leader="none"/>
      </w:tabs>
    </w:pPr>
    <w:rPr/>
  </w:style>
  <w:style w:type="paragraph" w:styleId="ConsPlusNonformat">
    <w:name w:val="ConsPlusNonformat"/>
    <w:next w:val="NormalWeb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next w:val="Standard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next w:val="ListParagraph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zh-CN" w:bidi="ar-SA"/>
    </w:rPr>
  </w:style>
  <w:style w:type="paragraph" w:styleId="22">
    <w:name w:val="Указатель2"/>
    <w:basedOn w:val="Normal"/>
    <w:next w:val="Style29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qFormat/>
    <w:pPr>
      <w:suppressAutoHyphens w:val="true"/>
      <w:jc w:val="both"/>
    </w:pPr>
    <w:rPr>
      <w:sz w:val="28"/>
      <w:szCs w:val="28"/>
    </w:rPr>
  </w:style>
  <w:style w:type="paragraph" w:styleId="Style4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10543</TotalTime>
  <Application>LibreOffice/7.5.7.1$Windows_X86_64 LibreOffice_project/47eb0cf7efbacdee9b19ae25d6752381ede23126</Application>
  <AppVersion>15.0000</AppVersion>
  <Pages>2</Pages>
  <Words>406</Words>
  <Characters>2928</Characters>
  <CharactersWithSpaces>3534</CharactersWithSpaces>
  <Paragraphs>18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2025-04-16T10:58:00Z</dcterms:created>
  <dc:creator/>
  <dc:description/>
  <dc:language>ru-RU</dc:language>
  <cp:lastModifiedBy/>
  <dcterms:modified xsi:type="dcterms:W3CDTF">2025-05-12T10:13:07Z</dcterms:modified>
  <cp:revision>461</cp:revision>
  <dc:subject/>
  <dc:title>Постановление Правительства МО от 17.05.2013 N 323/18(ред. от 07.10.2024)"Об оплате труда работников государственных учреждений Московской области сферы культуры"(вместе с "Положением об оплате труда работников государственных учреждений Московской области сферы культуры")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