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left="0" w:right="-185" w:hanging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ИНФОРМАЦИЯ</w:t>
      </w:r>
    </w:p>
    <w:p>
      <w:pPr>
        <w:pStyle w:val="Normal"/>
        <w:snapToGrid w:val="false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 результата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х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контрольного мероприятия </w:t>
      </w:r>
    </w:p>
    <w:p>
      <w:pPr>
        <w:pStyle w:val="Normal"/>
        <w:snapToGrid w:val="false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Style w:val="Style13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Проверка законности и эффективности </w:t>
      </w:r>
      <w:r>
        <w:rPr>
          <w:rFonts w:eastAsia="Liberation Serif;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расхо</w:t>
        <w:softHyphen/>
        <w:t xml:space="preserve">дования </w:t>
      </w:r>
      <w:r>
        <w:rPr>
          <w:rStyle w:val="Style16"/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финансовых средств и муниципального имущества на обеспечение дея</w:t>
        <w:softHyphen/>
        <w:t xml:space="preserve">тельности МБУ ДО </w:t>
      </w:r>
      <w:r>
        <w:rPr>
          <w:rStyle w:val="Style16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«Спортивная школа «Олимп</w:t>
      </w:r>
      <w:r>
        <w:rPr>
          <w:rStyle w:val="Style16"/>
          <w:rFonts w:eastAsia="Times New Roman" w:cs="Times New Roman" w:ascii="Times New Roman" w:hAnsi="Times New Roman"/>
          <w:b/>
          <w:bCs/>
          <w:i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»</w:t>
      </w:r>
      <w:r>
        <w:rPr>
          <w:rStyle w:val="Style16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го</w:t>
        <w:softHyphen/>
        <w:t>родского округа Фрязино</w:t>
      </w:r>
      <w:r>
        <w:rPr>
          <w:rStyle w:val="Style16"/>
          <w:rFonts w:eastAsia="Times New Roman" w:cs="Times New Roman" w:ascii="Times New Roman" w:hAnsi="Times New Roman"/>
          <w:b/>
          <w:bCs/>
          <w:i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за 2024 год</w:t>
      </w:r>
      <w:r>
        <w:rPr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  <w:lang w:eastAsia="ru-RU"/>
        </w:rPr>
        <w:t>»</w:t>
      </w:r>
    </w:p>
    <w:p>
      <w:pPr>
        <w:pStyle w:val="Normal"/>
        <w:snapToGrid w:val="false"/>
        <w:jc w:val="center"/>
        <w:rPr>
          <w:rFonts w:ascii="Times New Roman" w:hAnsi="Times New Roman" w:eastAsia="Arial" w:cs="Times New Roman"/>
          <w:b/>
          <w:b/>
          <w:bCs/>
          <w:sz w:val="28"/>
          <w:szCs w:val="28"/>
        </w:rPr>
      </w:pPr>
      <w:r>
        <w:rPr>
          <w:rFonts w:eastAsia="Arial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0" w:right="-185" w:hanging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0" w:right="-18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>
      <w:pPr>
        <w:pStyle w:val="Normal"/>
        <w:snapToGrid w:val="false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</w:rPr>
        <w:t>В соответствии с п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>унктом 2.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val="ru-RU" w:eastAsia="hi-IN"/>
        </w:rPr>
        <w:t>2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 Плана работы Контрольно-счетной палаты городского округа Фрязино на 202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>5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 год, утвержденного распоряжением пред</w:t>
        <w:softHyphen/>
        <w:t>седателя Контрольно-счетной палаты от  20.12.202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>4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 № 6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>0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 xml:space="preserve">в период с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hi-IN" w:bidi="hi-IN"/>
        </w:rPr>
        <w:t xml:space="preserve">19 февраля по 24 марта 2025 года проведено контрольное мероприятие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«Проверка законности и эффективности </w:t>
      </w:r>
      <w:r>
        <w:rPr>
          <w:rFonts w:eastAsia="Liberation Serif;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расхо</w:t>
        <w:softHyphen/>
        <w:t xml:space="preserve">дования </w:t>
      </w:r>
      <w:r>
        <w:rPr>
          <w:rStyle w:val="Style16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финансовых средств и муниципального имущества на обеспечение дея</w:t>
        <w:softHyphen/>
        <w:t xml:space="preserve">тельности МБУ ДО </w:t>
      </w:r>
      <w:r>
        <w:rPr>
          <w:rStyle w:val="Style16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«Спортивная школа «Олимп</w:t>
      </w:r>
      <w:r>
        <w:rPr>
          <w:rStyle w:val="Style16"/>
          <w:rFonts w:eastAsia="Times New Roman" w:cs="Times New Roman" w:ascii="Times New Roman" w:hAnsi="Times New Roman"/>
          <w:b/>
          <w:bCs/>
          <w:i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»</w:t>
      </w:r>
      <w:r>
        <w:rPr>
          <w:rStyle w:val="Style16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го</w:t>
        <w:softHyphen/>
        <w:t>родс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кого округа Фрязино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за 2024 год»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(далее — контрольное мероприятие).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</w:rPr>
        <w:t xml:space="preserve">     </w:t>
      </w:r>
      <w:r>
        <w:rPr>
          <w:rFonts w:cs="Times New Roman" w:ascii="Times New Roman" w:hAnsi="Times New Roman"/>
          <w:sz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Контрольное мероприятие проводилось согласно программе, утвержденной распоряжением председателя Контрольно-счетной палаты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городского округа Фрязино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12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 №  0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rStyle w:val="Style13"/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        </w:t>
      </w:r>
    </w:p>
    <w:p>
      <w:pPr>
        <w:pStyle w:val="Normal"/>
        <w:autoSpaceDE w:val="false"/>
        <w:jc w:val="center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outline w:val="false"/>
          <w:shadow w:val="false"/>
          <w:color w:val="000000"/>
          <w:sz w:val="28"/>
          <w:szCs w:val="28"/>
          <w:em w:val="none"/>
          <w:lang w:val="ru-RU" w:eastAsia="ru-RU"/>
        </w:rPr>
        <w:t>Проверкой установлено:</w:t>
      </w:r>
    </w:p>
    <w:p>
      <w:pPr>
        <w:pStyle w:val="Normal"/>
        <w:autoSpaceDE w:val="false"/>
        <w:jc w:val="center"/>
        <w:rPr>
          <w:rStyle w:val="Style15"/>
          <w:rFonts w:ascii="Times New Roman" w:hAnsi="Times New Roman" w:eastAsia="Times New Roman" w:cs="Times New Roman"/>
          <w:b/>
          <w:b/>
          <w:bCs/>
          <w:i/>
          <w:i/>
          <w:iCs/>
          <w:outline w:val="false"/>
          <w:shadow w:val="false"/>
          <w:color w:val="000000"/>
          <w:sz w:val="28"/>
          <w:szCs w:val="28"/>
          <w:em w:val="none"/>
          <w:lang w:val="ru-RU" w:eastAsia="ru-RU"/>
        </w:rPr>
      </w:pPr>
      <w:r>
        <w:rPr/>
      </w:r>
    </w:p>
    <w:p>
      <w:pPr>
        <w:pStyle w:val="Style19"/>
        <w:spacing w:lineRule="auto" w:line="240" w:before="0" w:after="57"/>
        <w:jc w:val="both"/>
        <w:rPr/>
      </w:pP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sz w:val="28"/>
          <w:szCs w:val="28"/>
          <w:u w:val="none"/>
          <w:em w:val="none"/>
          <w:lang w:val="ru-RU" w:eastAsia="ru-RU"/>
        </w:rPr>
        <w:t>1.  Оценка порядка формирования и исполнения муниципального задания МБУ ДО СШ «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sz w:val="28"/>
          <w:szCs w:val="28"/>
          <w:u w:val="none"/>
          <w:em w:val="none"/>
          <w:lang w:val="ru-RU" w:eastAsia="ru-RU"/>
        </w:rPr>
        <w:t>Фрязино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sz w:val="28"/>
          <w:szCs w:val="28"/>
          <w:u w:val="none"/>
          <w:em w:val="none"/>
          <w:lang w:val="ru-RU" w:eastAsia="ru-RU"/>
        </w:rPr>
        <w:t>»  в 2024 год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sz w:val="28"/>
          <w:szCs w:val="28"/>
          <w:u w:val="none"/>
          <w:em w:val="none"/>
          <w:lang w:val="ru-RU" w:eastAsia="ru-RU"/>
        </w:rPr>
        <w:t>у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sz w:val="28"/>
          <w:szCs w:val="28"/>
          <w:u w:val="none"/>
          <w:em w:val="none"/>
          <w:lang w:val="ru-RU" w:eastAsia="ru-RU"/>
        </w:rPr>
        <w:t>.</w:t>
      </w:r>
    </w:p>
    <w:p>
      <w:pPr>
        <w:pStyle w:val="Normal"/>
        <w:ind w:left="0" w:right="0" w:hanging="36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>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 </w:t>
      </w:r>
      <w:r>
        <w:rPr>
          <w:rStyle w:val="Style16"/>
          <w:rFonts w:eastAsia="Arial" w:cs="Times New Roman"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Муниципальное задание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МБУ ДО СШ «Олимп»</w:t>
      </w:r>
      <w:r>
        <w:rPr>
          <w:rStyle w:val="Style16"/>
          <w:rFonts w:eastAsia="Arial" w:cs="Times New Roman"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на 2024 год утверждено постановлением Администрации от 29.12.2023 № 1384 в сумме 106 038 900,00 руб. (далее -  Муниципальное задание 2024, МЗ). </w:t>
      </w:r>
    </w:p>
    <w:p>
      <w:pPr>
        <w:pStyle w:val="Normal"/>
        <w:bidi w:val="0"/>
        <w:spacing w:lineRule="auto" w:line="24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spacing w:val="-2"/>
          <w:sz w:val="28"/>
          <w:szCs w:val="28"/>
          <w:shd w:fill="auto" w:val="clear"/>
          <w:lang w:eastAsia="ru-RU"/>
        </w:rPr>
        <w:t>Муниципальным заданием</w:t>
      </w:r>
      <w:r>
        <w:rPr>
          <w:rStyle w:val="Style16"/>
          <w:rFonts w:eastAsia="Arial" w:cs="Times New Roman" w:ascii="Times New Roman" w:hAnsi="Times New Roman"/>
          <w:b w:val="false"/>
          <w:color w:val="000000"/>
          <w:spacing w:val="-2"/>
          <w:sz w:val="28"/>
          <w:szCs w:val="28"/>
          <w:shd w:fill="auto" w:val="clear"/>
          <w:lang w:eastAsia="ru-RU"/>
        </w:rPr>
        <w:t xml:space="preserve"> 2024</w:t>
      </w:r>
      <w:r>
        <w:rPr>
          <w:rStyle w:val="Style16"/>
          <w:rFonts w:eastAsia="Arial" w:cs="Times New Roman" w:ascii="Times New Roman" w:hAnsi="Times New Roman"/>
          <w:b w:val="false"/>
          <w:bCs w:val="false"/>
          <w:spacing w:val="-2"/>
          <w:sz w:val="28"/>
          <w:szCs w:val="28"/>
          <w:shd w:fill="auto" w:val="clear"/>
          <w:lang w:eastAsia="ru-RU"/>
        </w:rPr>
        <w:t xml:space="preserve"> утверждены следующие виды услуг (работ):</w:t>
      </w:r>
    </w:p>
    <w:p>
      <w:pPr>
        <w:pStyle w:val="Style19"/>
        <w:numPr>
          <w:ilvl w:val="0"/>
          <w:numId w:val="3"/>
        </w:numPr>
        <w:bidi w:val="0"/>
        <w:spacing w:lineRule="auto" w:line="240" w:before="0" w:after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spacing w:val="-2"/>
          <w:sz w:val="28"/>
          <w:szCs w:val="28"/>
          <w:shd w:fill="auto" w:val="clear"/>
          <w:lang w:val="en-US" w:eastAsia="ru-RU"/>
        </w:rPr>
        <w:t xml:space="preserve">I. </w:t>
      </w:r>
      <w:r>
        <w:rPr>
          <w:rStyle w:val="Style16"/>
          <w:rFonts w:eastAsia="Arial" w:cs="Times New Roman" w:ascii="Times New Roman" w:hAnsi="Times New Roman"/>
          <w:b w:val="false"/>
          <w:spacing w:val="-2"/>
          <w:sz w:val="28"/>
          <w:szCs w:val="28"/>
          <w:shd w:fill="auto" w:val="clear"/>
          <w:lang w:eastAsia="ru-RU"/>
        </w:rPr>
        <w:t>Спортивная подготовка по олимпийским видам спорта</w:t>
      </w:r>
    </w:p>
    <w:p>
      <w:pPr>
        <w:pStyle w:val="Style19"/>
        <w:numPr>
          <w:ilvl w:val="0"/>
          <w:numId w:val="3"/>
        </w:numPr>
        <w:bidi w:val="0"/>
        <w:spacing w:lineRule="auto" w:line="240" w:before="0" w:after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spacing w:val="-2"/>
          <w:sz w:val="28"/>
          <w:szCs w:val="28"/>
          <w:shd w:fill="auto" w:val="clear"/>
          <w:lang w:val="en-US" w:eastAsia="ru-RU"/>
        </w:rPr>
        <w:t xml:space="preserve">II. </w:t>
      </w:r>
      <w:r>
        <w:rPr>
          <w:rStyle w:val="Style16"/>
          <w:rFonts w:eastAsia="Arial" w:cs="Times New Roman" w:ascii="Times New Roman" w:hAnsi="Times New Roman"/>
          <w:b w:val="false"/>
          <w:spacing w:val="-2"/>
          <w:sz w:val="28"/>
          <w:szCs w:val="28"/>
          <w:shd w:fill="auto" w:val="clear"/>
          <w:lang w:eastAsia="ru-RU"/>
        </w:rPr>
        <w:t>Спортивная подготовка по неолимпийским видам спорта</w:t>
      </w:r>
    </w:p>
    <w:p>
      <w:pPr>
        <w:pStyle w:val="ConsPlusNonformat"/>
        <w:numPr>
          <w:ilvl w:val="0"/>
          <w:numId w:val="3"/>
        </w:numPr>
        <w:tabs>
          <w:tab w:val="clear" w:pos="709"/>
          <w:tab w:val="left" w:pos="11894" w:leader="none"/>
        </w:tabs>
        <w:jc w:val="both"/>
        <w:rPr/>
      </w:pPr>
      <w:r>
        <w:rPr>
          <w:rStyle w:val="Style16"/>
          <w:rFonts w:cs="Times New Roman" w:ascii="Times New Roman" w:hAnsi="Times New Roman"/>
          <w:b w:val="false"/>
          <w:bCs w:val="false"/>
          <w:sz w:val="28"/>
          <w:szCs w:val="28"/>
        </w:rPr>
        <w:t>II</w:t>
      </w:r>
      <w:r>
        <w:rPr>
          <w:rStyle w:val="Style16"/>
          <w:rFonts w:eastAsia="Arial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en-US" w:eastAsia="ru-RU"/>
        </w:rPr>
        <w:t xml:space="preserve">I.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eastAsia="ru-RU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</w:p>
    <w:p>
      <w:pPr>
        <w:pStyle w:val="ConsPlusNonformat"/>
        <w:numPr>
          <w:ilvl w:val="0"/>
          <w:numId w:val="3"/>
        </w:numPr>
        <w:tabs>
          <w:tab w:val="clear" w:pos="709"/>
          <w:tab w:val="left" w:pos="11894" w:leader="none"/>
        </w:tabs>
        <w:jc w:val="both"/>
        <w:rPr/>
      </w:pPr>
      <w:r>
        <w:rPr>
          <w:rStyle w:val="Style16"/>
          <w:rFonts w:cs="Times New Roman" w:ascii="Times New Roman" w:hAnsi="Times New Roman"/>
          <w:b w:val="false"/>
          <w:bCs w:val="false"/>
          <w:sz w:val="28"/>
          <w:szCs w:val="28"/>
        </w:rPr>
        <w:t>I</w:t>
      </w:r>
      <w:r>
        <w:rPr>
          <w:rStyle w:val="Style16"/>
          <w:rFonts w:eastAsia="Arial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en-US" w:eastAsia="ru-RU"/>
        </w:rPr>
        <w:t xml:space="preserve">V.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eastAsia="ru-RU"/>
        </w:rPr>
        <w:t>Обеспечение доступа к объектам спорта</w:t>
      </w:r>
    </w:p>
    <w:p>
      <w:pPr>
        <w:pStyle w:val="ConsPlusNonformat"/>
        <w:numPr>
          <w:ilvl w:val="0"/>
          <w:numId w:val="3"/>
        </w:numPr>
        <w:tabs>
          <w:tab w:val="clear" w:pos="709"/>
          <w:tab w:val="left" w:pos="11894" w:leader="none"/>
        </w:tabs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en-US" w:eastAsia="ru-RU"/>
        </w:rPr>
        <w:t xml:space="preserve">V.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eastAsia="ru-RU"/>
        </w:rPr>
        <w:t xml:space="preserve">Организация и проведение официальных спортивных мероприятий 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1894" w:leader="none"/>
        </w:tabs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en-US"/>
        </w:rPr>
        <w:t xml:space="preserve">VI.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Проведение тестирования выполнения нормативов испытаний (тестов) комплекса ГТО</w:t>
      </w:r>
    </w:p>
    <w:p>
      <w:pPr>
        <w:pStyle w:val="ConsPlusNonformat"/>
        <w:numPr>
          <w:ilvl w:val="0"/>
          <w:numId w:val="3"/>
        </w:numPr>
        <w:tabs>
          <w:tab w:val="clear" w:pos="709"/>
          <w:tab w:val="left" w:pos="11894" w:leader="none"/>
        </w:tabs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FFFFFF" w:val="clear"/>
          <w:lang w:val="en-US"/>
        </w:rPr>
        <w:t xml:space="preserve">VII.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FFFFFF" w:val="clear"/>
        </w:rPr>
        <w:t>Обеспечение участия лиц, проходящих спортивную подготовку, в спортивных соревнованиях (Всероссийские)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</w:t>
      </w:r>
    </w:p>
    <w:p>
      <w:pPr>
        <w:pStyle w:val="ConsPlusNonformat"/>
        <w:numPr>
          <w:ilvl w:val="0"/>
          <w:numId w:val="3"/>
        </w:numPr>
        <w:tabs>
          <w:tab w:val="clear" w:pos="709"/>
          <w:tab w:val="left" w:pos="11894" w:leader="none"/>
        </w:tabs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FFFFFF" w:val="clear"/>
          <w:lang w:val="en-US"/>
        </w:rPr>
        <w:t xml:space="preserve">VIII.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FFFFFF" w:val="clear"/>
        </w:rPr>
        <w:t>Обеспечение участия лиц, проходящих спортивную подготовку, в спортивных соревнованиях (региональные)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</w:t>
      </w:r>
    </w:p>
    <w:p>
      <w:pPr>
        <w:pStyle w:val="ConsPlusNonformat"/>
        <w:numPr>
          <w:ilvl w:val="0"/>
          <w:numId w:val="3"/>
        </w:numPr>
        <w:tabs>
          <w:tab w:val="clear" w:pos="709"/>
          <w:tab w:val="left" w:pos="11894" w:leader="none"/>
        </w:tabs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FFFFFF" w:val="clear"/>
          <w:lang w:val="en-US"/>
        </w:rPr>
        <w:t xml:space="preserve">IX.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FFFFFF" w:val="clear"/>
        </w:rPr>
        <w:t>Обеспечение участия лиц, проходящих спортивную подготовку, в спортивных соревнованиях (Международные на территории РФ)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</w:t>
      </w:r>
    </w:p>
    <w:p>
      <w:pPr>
        <w:pStyle w:val="Normal"/>
        <w:numPr>
          <w:ilvl w:val="0"/>
          <w:numId w:val="3"/>
        </w:numPr>
        <w:snapToGrid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FFFFFF" w:val="clear"/>
          <w:vertAlign w:val="baseline"/>
          <w:em w:val="none"/>
          <w:lang w:val="en-US" w:eastAsia="ru-RU" w:bidi="hi-IN"/>
        </w:rPr>
        <w:t xml:space="preserve">X.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Обеспечение участия лиц, проходящих спортивную подготовку, в спортивных соревнованиях (межрегиональные).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 </w:t>
      </w:r>
    </w:p>
    <w:p>
      <w:pPr>
        <w:pStyle w:val="Style19"/>
        <w:spacing w:lineRule="auto" w:line="240" w:before="0" w:after="57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eastAsia="ru-RU"/>
        </w:rPr>
        <w:t xml:space="preserve">   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eastAsia="ru-RU"/>
        </w:rPr>
        <w:t>В нарушение пунктов  4, 5 статьи 69.2, пункта 1 статьи 78.1</w:t>
      </w:r>
      <w:r>
        <w:rPr>
          <w:rStyle w:val="Style13"/>
          <w:rFonts w:eastAsia="Arial" w:cs="Times New Roman" w:ascii="Times New Roman" w:hAnsi="Times New Roman"/>
          <w:bCs/>
          <w:color w:val="000000"/>
          <w:spacing w:val="-2"/>
          <w:sz w:val="28"/>
          <w:szCs w:val="28"/>
          <w:shd w:fill="auto" w:val="clear"/>
          <w:lang w:eastAsia="ru-RU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eastAsia="ru-RU"/>
        </w:rPr>
        <w:t xml:space="preserve">Бюджетного кодекса РФ, пунктов 3.1-3.3  Порядка </w:t>
      </w:r>
      <w:r>
        <w:rPr>
          <w:rStyle w:val="Style13"/>
          <w:rFonts w:eastAsia="Calibri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eastAsia="ru-RU"/>
        </w:rPr>
        <w:t>формирования и финансового обеспечения выполнения муници</w:t>
        <w:softHyphen/>
        <w:t xml:space="preserve">пального задания муниципальными учреждениями городского округа Фрязино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eastAsia="ru-RU"/>
        </w:rPr>
        <w:t>Московской области, утвержденного п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eastAsia="hi-IN"/>
        </w:rPr>
        <w:t xml:space="preserve">остановлением Администрации от 29.11.2021 № 603 (далее — Порядок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eastAsia="ru-RU"/>
        </w:rPr>
        <w:t xml:space="preserve">№ 603), объемы финансирования Муниципального задания 2024 по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eastAsia="ru-RU"/>
        </w:rPr>
        <w:t xml:space="preserve">Организации и проведению официальных спортивных мероприятий и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u w:val="none"/>
          <w:shd w:fill="FFFFFF" w:val="clear"/>
          <w:lang w:eastAsia="ru-RU"/>
        </w:rPr>
        <w:t xml:space="preserve">Обеспечению участия лиц, проходящих спортивную подготовку, в спортивных соревнованиях всех уровней установлены в отсутствии базовых нормативов затрат.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eastAsia="ru-RU"/>
        </w:rPr>
        <w:t xml:space="preserve">На эти виды работ в муниципальном задании указаны нормативные затраты, размер которых установлен в отсутствии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-2"/>
          <w:sz w:val="28"/>
          <w:szCs w:val="28"/>
          <w:u w:val="none"/>
          <w:shd w:fill="FFFFFF" w:val="clear"/>
          <w:lang w:eastAsia="ru-RU"/>
        </w:rPr>
        <w:t xml:space="preserve">базовых нормативов затрат, утвержденных постановлением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eastAsia="ru-RU"/>
        </w:rPr>
        <w:t xml:space="preserve">Администрации № 1221 от 08.12.2023 (с изм. от 27.12.2023 № 1349). </w:t>
      </w:r>
    </w:p>
    <w:p>
      <w:pPr>
        <w:pStyle w:val="Normal"/>
        <w:widowControl w:val="false"/>
        <w:pBdr/>
        <w:tabs>
          <w:tab w:val="clear" w:pos="709"/>
        </w:tabs>
        <w:spacing w:before="0" w:after="57"/>
        <w:jc w:val="both"/>
        <w:rPr/>
      </w:pPr>
      <w:r>
        <w:rPr>
          <w:rStyle w:val="Style16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       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Сумма нарушений составила 2 771,5 тыс. руб.</w:t>
      </w:r>
    </w:p>
    <w:p>
      <w:pPr>
        <w:pStyle w:val="Normal"/>
        <w:widowControl w:val="false"/>
        <w:pBdr/>
        <w:tabs>
          <w:tab w:val="clear" w:pos="709"/>
        </w:tabs>
        <w:spacing w:before="0" w:after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 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2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)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  Приказом директора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МБУ ДО СШ «Олимп» от 27.12.2023 № 103-т «Об утверждении списочного состава групп» (далее — Приказ) установлена численность учащихся на 01.01.2024, на основании которой должно было формироваться муниципальное задание учреждения.</w:t>
      </w:r>
    </w:p>
    <w:p>
      <w:pPr>
        <w:pStyle w:val="Normal"/>
        <w:widowControl w:val="false"/>
        <w:pBdr/>
        <w:tabs>
          <w:tab w:val="clear" w:pos="709"/>
        </w:tabs>
        <w:spacing w:before="0" w:after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  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Проверка обоснованности объемов муниципальных услуг, утвержденных в Муниципальном задании 2024, установила,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что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по сравнению с Приказом о списочном составе групп необоснованно завышен объем услуг по видам спорта:</w:t>
      </w:r>
    </w:p>
    <w:p>
      <w:pPr>
        <w:pStyle w:val="Normal"/>
        <w:widowControl w:val="false"/>
        <w:numPr>
          <w:ilvl w:val="0"/>
          <w:numId w:val="2"/>
        </w:numPr>
        <w:pBdr/>
        <w:tabs>
          <w:tab w:val="clear" w:pos="709"/>
        </w:tabs>
        <w:spacing w:before="0" w:after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Футбол - на 20 чел. по группам начальной подготовки (ГНП) и на 5 чел. по учебно-тренировочным группам (УТГ), что повлекло за собой необоснован</w:t>
        <w:softHyphen/>
        <w:t>ное завышение стоимости МЗ на 560 028,3 руб. и 449 358,6 руб., соответ</w:t>
        <w:softHyphen/>
        <w:t>ственно.</w:t>
      </w:r>
    </w:p>
    <w:p>
      <w:pPr>
        <w:pStyle w:val="Normal"/>
        <w:widowControl w:val="false"/>
        <w:numPr>
          <w:ilvl w:val="0"/>
          <w:numId w:val="2"/>
        </w:numPr>
        <w:pBdr/>
        <w:tabs>
          <w:tab w:val="clear" w:pos="709"/>
        </w:tabs>
        <w:spacing w:before="0" w:after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Плавание — на 10 чел. по ГНП, что повлекло за собой необоснованное завышение стоимости МЗ на  245 877,55 руб., соответственно.</w:t>
      </w:r>
    </w:p>
    <w:p>
      <w:pPr>
        <w:pStyle w:val="Normal"/>
        <w:widowControl w:val="false"/>
        <w:pBdr/>
        <w:tabs>
          <w:tab w:val="clear" w:pos="709"/>
        </w:tabs>
        <w:spacing w:before="0" w:after="57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  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  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Общая сумма нарушений составила  1 255,26 тыс. руб.</w:t>
      </w:r>
    </w:p>
    <w:p>
      <w:pPr>
        <w:pStyle w:val="Normal"/>
        <w:widowControl w:val="false"/>
        <w:pBdr/>
        <w:tabs>
          <w:tab w:val="clear" w:pos="709"/>
        </w:tabs>
        <w:spacing w:before="0" w:after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 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3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)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 Проверка обоснованности объемов муниципальных услуг, установленных в Муниципальном задании 2024 от 27.12.2024, установила:</w:t>
      </w:r>
    </w:p>
    <w:p>
      <w:pPr>
        <w:pStyle w:val="Normal"/>
        <w:widowControl w:val="false"/>
        <w:pBdr/>
        <w:tabs>
          <w:tab w:val="clear" w:pos="709"/>
        </w:tabs>
        <w:spacing w:before="0" w:after="57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Согласно приказам директора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МБУ ДО СШ «Олимп» «О движении учащихся» от 22.01.2024 № 09т, от 01.02.2024 № 12т, от 15.02.2024 № 18т, от 26.03.2024 № 24-т, от 27.04.2024 № 28-т, от 28.05.2024 № 33-т, от 24.06.2024 № 36-т, от 30.08.2024 № 48-т, от 30.09.2024 № 53-т, от 31.10.2024 № 61-т численность учащихся изменилась, что должно было повлечь за собой изменение объема муниципальных услуг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в Муниципальном задании 2024 от 27.12.2024.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Однако,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в Муниципальном задании 2024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от 27.12.2024: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      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н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еобоснованно завышены объемы услуг по следующим видам спорта: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Плавание — на 1 чел. по УТГ, что повлекло за собой необоснованное завышение  стоимости МЗ на 78 247,0 руб.</w:t>
      </w:r>
    </w:p>
    <w:p>
      <w:pPr>
        <w:pStyle w:val="Normal"/>
        <w:numPr>
          <w:ilvl w:val="0"/>
          <w:numId w:val="5"/>
        </w:numPr>
        <w:spacing w:lineRule="auto" w:line="240" w:before="0" w:after="57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Бокс — на  3 чел. по ГНП, что повлекло за собой необоснованное завышение стоимости МЗ на 132 223,0 руб.</w:t>
      </w:r>
    </w:p>
    <w:p>
      <w:pPr>
        <w:pStyle w:val="Normal"/>
        <w:numPr>
          <w:ilvl w:val="0"/>
          <w:numId w:val="5"/>
        </w:numPr>
        <w:spacing w:lineRule="auto" w:line="240" w:before="0" w:after="57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Спортивная гимнастика — на 11 чел. по ГНП и на 2 чел. по УТГ, что повлекло за собой необоснованное завышение стоимости МЗ на 550 282,16 руб. и 239 156,78 руб., соответственно.</w:t>
      </w:r>
    </w:p>
    <w:p>
      <w:pPr>
        <w:pStyle w:val="Normal"/>
        <w:numPr>
          <w:ilvl w:val="0"/>
          <w:numId w:val="5"/>
        </w:numPr>
        <w:spacing w:lineRule="auto" w:line="240" w:before="0" w:after="57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Дзюдо — на  4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чел. по УТГ,  что повлекло за собой необоснованное завышение стоимости МЗ на 405 383,87 руб.</w:t>
      </w:r>
    </w:p>
    <w:p>
      <w:pPr>
        <w:pStyle w:val="Normal"/>
        <w:numPr>
          <w:ilvl w:val="0"/>
          <w:numId w:val="5"/>
        </w:numPr>
        <w:spacing w:lineRule="auto" w:line="240" w:before="0" w:after="57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Спортивно-оздоровительная работа (СОГ) - уменьшение объема услуг в МЗ с 49 до 29, при сохранении нормативных затрат на первоначально установлен</w:t>
        <w:softHyphen/>
        <w:t xml:space="preserve">ном уровне, не изменило стоимость муниципального задания,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что повлекло за собой необоснованное завышение стоимости МЗ на 398 569,80 руб.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       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Необоснованно занижены объемы услуг по следующим видам спорта:</w:t>
      </w:r>
    </w:p>
    <w:p>
      <w:pPr>
        <w:pStyle w:val="Normal"/>
        <w:widowControl w:val="false"/>
        <w:numPr>
          <w:ilvl w:val="0"/>
          <w:numId w:val="5"/>
        </w:numPr>
        <w:pBdr/>
        <w:tabs>
          <w:tab w:val="clear" w:pos="709"/>
        </w:tabs>
        <w:spacing w:before="0" w:after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Футбол - на 4 чел. по группам начальной подготовки (ГНП), что повлекло за собой необоснованное занижение стоимости МЗ на 113 052,23 руб.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Дзюдо — на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5 чел. по ГНП, что повлекло за собой необоснованное занижение стоимости МЗ на  175 601,97 руб.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Плавание — на 6 чел. по ГНП, что повлекло за собой необоснованное занижение стоимости МЗ на 178 557,51 руб. 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yle16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   </w:t>
      </w:r>
      <w:r>
        <w:rPr>
          <w:rStyle w:val="Style16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Общая сумма нарушений составила  2 271,07 тыс. руб.  Сумма ущерба бюджету городского округа Фрязино составила 1803,9 тыс. руб.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  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4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)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 В соответствии с пунктом 27 Порядка </w:t>
      </w:r>
      <w:r>
        <w:rPr>
          <w:rStyle w:val="Style13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>формирования и финансового обеспечения выполнения муници</w:t>
        <w:softHyphen/>
        <w:t xml:space="preserve">пального задания муниципальными учреждениями городского округа Фрязино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>Московской области, утвержденного п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>остановлением Администрации от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 22.04.2024 № 386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 xml:space="preserve"> ( далее — Порядок № 386),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 Администрацией заключено Соглашение № 2.1-12-12С/2024 от 09.01.2024 с </w:t>
      </w:r>
      <w:r>
        <w:rPr>
          <w:rStyle w:val="Style16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МБУ ДО СШ «Олимп» о предоставлении субсидии на финансовое обеспечение выполнения Муниципального задания 2024 (далее - Соглашение).</w:t>
      </w:r>
    </w:p>
    <w:p>
      <w:pPr>
        <w:pStyle w:val="Style19"/>
        <w:spacing w:lineRule="auto" w:line="240" w:before="0" w:after="57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    </w:t>
      </w:r>
      <w:r>
        <w:rPr>
          <w:rStyle w:val="Style16"/>
          <w:rFonts w:eastAsia="Arial" w:cs="Times New Roman"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Дополнительным соглашением от 19.12.2024 внесены изменения в Соглашение в части изменения графика финансирования </w:t>
      </w:r>
      <w:r>
        <w:rPr>
          <w:rStyle w:val="Style16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МБУ ДО СШ «Олимп» и увеличения объема предоставления субсидии до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119 194 973,94 руб., </w:t>
      </w:r>
      <w:r>
        <w:rPr>
          <w:rStyle w:val="Style16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что соответствует  стоимости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М</w:t>
      </w:r>
      <w:r>
        <w:rPr>
          <w:rStyle w:val="Style16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униципального задания 2024 по состоянию на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27.12.2024.</w:t>
      </w:r>
    </w:p>
    <w:p>
      <w:pPr>
        <w:pStyle w:val="Normal"/>
        <w:spacing w:before="0" w:after="57"/>
        <w:jc w:val="both"/>
        <w:rPr/>
      </w:pP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Внесение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изменений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в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Соглашение 19.12.2024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произведено до внесения изменений в муниципальное задание, утвержденное только 27.12.2024, что является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нарушением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пункта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2.2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Соглашения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,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устанавливающего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,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что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Учредитель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вправе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изменять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размер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субсидии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,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предоставляемой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в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соответствии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с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настоящим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соглашением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,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в случае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изменения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в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муниципальном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задании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показателей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,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характеризующих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объем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(содержание)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оказываемых услуг.</w:t>
      </w:r>
    </w:p>
    <w:p>
      <w:pPr>
        <w:pStyle w:val="Normal"/>
        <w:bidi w:val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    </w:t>
      </w:r>
      <w:r>
        <w:rPr>
          <w:rStyle w:val="Style16"/>
          <w:rFonts w:eastAsia="Arial" w:cs="Times New Roman"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5</w:t>
      </w:r>
      <w:r>
        <w:rPr>
          <w:rStyle w:val="Style16"/>
          <w:rFonts w:eastAsia="Arial" w:cs="Times New Roman"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)</w:t>
      </w:r>
      <w:r>
        <w:rPr>
          <w:rStyle w:val="Style16"/>
          <w:rFonts w:eastAsia="Arial" w:cs="Times New Roman"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Согласно Отчету от 01.01.2025 о выполнении Муниципального задания 2024, утвержденному заместителем Главы г.о. Фрязино Шуваловой Ю.М., установлено, что показатели исполнения МЗ составляют 100%. </w:t>
      </w:r>
    </w:p>
    <w:p>
      <w:pPr>
        <w:pStyle w:val="Normal"/>
        <w:bidi w:val="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 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Согласно Сводному отчету о состоянии лицевых счетов БУ, АУ, ОМС с 01.01.2024 по 31.12.2024 </w:t>
      </w:r>
      <w:r>
        <w:rPr>
          <w:rStyle w:val="Style16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бюджетные обязательства МБУ ДО СШ «Олимп» профинансированы Администрацией полностью на сумму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119 194 973,94 руб., </w:t>
      </w:r>
      <w:r>
        <w:rPr>
          <w:rStyle w:val="Style16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что соответствует  стоимости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М</w:t>
      </w:r>
      <w:r>
        <w:rPr>
          <w:rStyle w:val="Style16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униципального задания 2024.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Расходы учреждением произведены на сумму 116 524 694,89 руб. Остаток средств муниципального задания на счете учреждения на 01.01.2025 составил 2 699 828,33 руб.</w:t>
      </w:r>
    </w:p>
    <w:p>
      <w:pPr>
        <w:pStyle w:val="Normal"/>
        <w:spacing w:before="0" w:after="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  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Учитывая, что Муниципальное задание 2024 содержит недостоверные плановые объемы услуг, недостоверными являются, соответственно, и исполненные на 100% объемы услу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г, что свидетельствует о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не осуществлени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и надлежащего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контроля учредителем за достоверностью отчетных данных о выполнении муниципального задания МБУ ДО СШ «Олимп».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8"/>
        <w:widowControl/>
        <w:suppressAutoHyphens w:val="true"/>
        <w:bidi w:val="0"/>
        <w:spacing w:before="0" w:after="113"/>
        <w:ind w:left="0" w:right="0" w:hanging="0"/>
        <w:jc w:val="both"/>
        <w:rPr/>
      </w:pP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2.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Оценка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эффективности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управления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кадровыми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ресурсами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>МБУ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>ДО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>СШ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>«Олимп»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>в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>2024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>году.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Проверка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соблюдения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законности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и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обоснованности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расходов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на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оплату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труда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>работников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>МБУ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>ДО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>СШ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>«Олимп»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hi-IN"/>
        </w:rPr>
        <w:t>.</w:t>
      </w:r>
    </w:p>
    <w:p>
      <w:pPr>
        <w:pStyle w:val="Normal"/>
        <w:snapToGrid w:val="false"/>
        <w:spacing w:lineRule="auto" w:line="240" w:before="0" w:after="57"/>
        <w:ind w:left="0" w:right="0" w:hanging="0"/>
        <w:jc w:val="both"/>
        <w:rPr/>
      </w:pPr>
      <w:r>
        <w:rPr>
          <w:rStyle w:val="Style16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yle16"/>
          <w:rFonts w:eastAsia="Arial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</w:t>
      </w:r>
      <w:r>
        <w:rPr>
          <w:rStyle w:val="Style16"/>
          <w:rFonts w:eastAsia="Arial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При проверке порядка начисления заработной платы работникам </w:t>
      </w:r>
      <w:r>
        <w:rPr>
          <w:rStyle w:val="Style16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МБУ ДО СШ «Олимп» </w:t>
      </w:r>
      <w:r>
        <w:rPr>
          <w:rStyle w:val="Style16"/>
          <w:rFonts w:eastAsia="Arial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установлены следующие нарушения:</w:t>
      </w:r>
    </w:p>
    <w:p>
      <w:pPr>
        <w:pStyle w:val="Normal"/>
        <w:widowControl w:val="false"/>
        <w:tabs>
          <w:tab w:val="clear" w:pos="709"/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57"/>
        <w:ind w:left="0" w:right="0" w:hanging="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-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</w:t>
      </w:r>
      <w:r>
        <w:rPr>
          <w:rStyle w:val="Style16"/>
          <w:rFonts w:eastAsia="Arial" w:cs="Times New Roman" w:ascii="Times New Roman" w:hAnsi="Times New Roman"/>
          <w:b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-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1) Оплата труда работников,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не привлекаемых к выполнению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-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муниципального задания.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Сумма нарушений составила 15 345,08 руб.</w:t>
      </w:r>
    </w:p>
    <w:p>
      <w:pPr>
        <w:pStyle w:val="Normal"/>
        <w:widowControl w:val="false"/>
        <w:tabs>
          <w:tab w:val="clear" w:pos="709"/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57"/>
        <w:ind w:left="0" w:right="0" w:hanging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2) Нарушения условий оплаты труда при выплатах стимулирующего характера.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Сумма нарушений составила 418 277,73 руб.</w:t>
      </w:r>
    </w:p>
    <w:p>
      <w:pPr>
        <w:pStyle w:val="Normal"/>
        <w:widowControl w:val="false"/>
        <w:tabs>
          <w:tab w:val="clear" w:pos="709"/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57"/>
        <w:ind w:left="0" w:right="0" w:hanging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3) </w:t>
      </w:r>
      <w:r>
        <w:rPr>
          <w:rStyle w:val="Style16"/>
          <w:rFonts w:eastAsia="Arial"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Нарушения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8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Трудового кодекса РФ при оплате труда совместителей сверх 0,5 ставки.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Сумма нарушений составила 335 322,73 руб.</w:t>
      </w:r>
    </w:p>
    <w:p>
      <w:pPr>
        <w:pStyle w:val="Normal"/>
        <w:widowControl w:val="false"/>
        <w:tabs>
          <w:tab w:val="clear" w:pos="709"/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4) </w:t>
      </w:r>
      <w:r>
        <w:rPr>
          <w:rStyle w:val="Style16"/>
          <w:rFonts w:eastAsia="Arial"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Задвоения расходов при оплате труда в период нахождения работников в командировках.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Сумма нарушений составила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30 218,46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руб.</w:t>
      </w:r>
    </w:p>
    <w:p>
      <w:pPr>
        <w:pStyle w:val="Normal"/>
        <w:widowControl w:val="false"/>
        <w:tabs>
          <w:tab w:val="clear" w:pos="709"/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57" w:after="0"/>
        <w:ind w:left="0" w:right="0" w:hanging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5)  Завышения оплаты труда работников сверх  </w:t>
      </w:r>
      <w:r>
        <w:rPr>
          <w:rStyle w:val="Style16"/>
          <w:rFonts w:eastAsia="Arial"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учебно-тренировочных нагрузок.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С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умма нарушений составила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55 940,37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руб.</w:t>
      </w:r>
    </w:p>
    <w:p>
      <w:pPr>
        <w:pStyle w:val="Normal"/>
        <w:widowControl w:val="false"/>
        <w:tabs>
          <w:tab w:val="clear" w:pos="709"/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57" w:after="0"/>
        <w:ind w:left="0" w:right="0" w:hanging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6)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Задвоение доплаты при совмещении профессии.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С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умма нарушений составила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115 042,36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руб.</w:t>
      </w:r>
    </w:p>
    <w:p>
      <w:pPr>
        <w:pStyle w:val="Normal"/>
        <w:widowControl w:val="false"/>
        <w:tabs>
          <w:tab w:val="clear" w:pos="709"/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57" w:after="0"/>
        <w:ind w:left="0" w:right="0" w:hanging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7)  </w:t>
      </w:r>
      <w:r>
        <w:rPr>
          <w:rStyle w:val="Style16"/>
          <w:rFonts w:eastAsia="Arial"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Переплаты при доплатах  до минимального размера оплаты труда.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С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умма нарушений составила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20 164,53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руб.</w:t>
      </w:r>
    </w:p>
    <w:p>
      <w:pPr>
        <w:pStyle w:val="Normal"/>
        <w:widowControl w:val="false"/>
        <w:tabs>
          <w:tab w:val="clear" w:pos="709"/>
          <w:tab w:val="left" w:pos="148" w:leader="none"/>
          <w:tab w:val="left" w:pos="290" w:leader="none"/>
        </w:tabs>
        <w:suppressAutoHyphens w:val="false"/>
        <w:bidi w:val="0"/>
        <w:snapToGrid w:val="false"/>
        <w:spacing w:lineRule="auto" w:line="240" w:before="57" w:after="0"/>
        <w:ind w:left="0" w:right="0" w:hanging="0"/>
        <w:jc w:val="both"/>
        <w:rPr/>
      </w:pP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8)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Оплата труда за счет бюджетных средств вместо средств от приносящей доходы деятельности.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Сумма нарушений составила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604 405,77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руб.</w:t>
      </w:r>
    </w:p>
    <w:p>
      <w:pPr>
        <w:pStyle w:val="Normal"/>
        <w:spacing w:before="57" w:after="57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9) 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Завышение суммы доплаты за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совмещение должностей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сверх размера, установленного приказом директора.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Сумма нарушений составила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52 812,25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руб.</w:t>
      </w:r>
    </w:p>
    <w:p>
      <w:pPr>
        <w:pStyle w:val="Normal"/>
        <w:bidi w:val="0"/>
        <w:spacing w:lineRule="auto" w:line="252" w:before="0" w:after="57"/>
        <w:jc w:val="both"/>
        <w:rPr/>
      </w:pP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3</w:t>
      </w: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. Соблюдение законности и эффективности использования муниципальной собственности, находящейся в оперативном управлении М</w:t>
      </w: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Б</w:t>
      </w: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У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ДО</w:t>
      </w:r>
      <w:r>
        <w:rPr>
          <w:rStyle w:val="Style16"/>
          <w:rFonts w:eastAsia="Arial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СШ «Олимп».</w:t>
      </w:r>
    </w:p>
    <w:p>
      <w:pPr>
        <w:pStyle w:val="Normal"/>
        <w:bidi w:val="0"/>
        <w:spacing w:before="0" w:after="57"/>
        <w:jc w:val="both"/>
        <w:rPr/>
      </w:pP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 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1)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В ходе осмотра имущественного комплекса выявлены нарушения, отмеченные Контрольно-счетной палатой еще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в Акте проверки №2020/02 от 28.02.2020 года и Представлении в адрес директора учреждения от 23.03.2020 № 01-20/06, и не устраненные по настоящее время: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overflowPunct w:val="false"/>
        <w:bidi w:val="0"/>
        <w:spacing w:lineRule="auto" w:line="252" w:before="0" w:after="0"/>
        <w:jc w:val="both"/>
        <w:rPr/>
      </w:pP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на большей части объектов отсутствуют или не совпадают инвентарные номера, что значительно усложняет идентификацию объектов имущества;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overflowPunct w:val="false"/>
        <w:bidi w:val="0"/>
        <w:spacing w:lineRule="auto" w:line="252" w:before="0" w:after="0"/>
        <w:jc w:val="both"/>
        <w:rPr/>
      </w:pP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большая часть основных средств находится в неудовлетворительном (нерабочем) состоянии. Однако, данные объекты продолжают числиться на бухгалтерском учете;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overflowPunct w:val="false"/>
        <w:bidi w:val="0"/>
        <w:spacing w:lineRule="auto" w:line="252" w:before="0" w:after="0"/>
        <w:jc w:val="both"/>
        <w:rPr/>
      </w:pP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автомобиль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en-US" w:eastAsia="hi-IN" w:bidi="hi-IN"/>
        </w:rPr>
        <w:t xml:space="preserve">Ford Focus C 346,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стоящий на бухгалтерском учете в МБУ ДО «СШ «Олимп»,  в 2024 году не эксплуатировался. Неиспользование по назначению движимого имущества в течение длительного времени (более 3 месяцев) считается неэффективным использованием бюджетных средств в сфере управления  и распоряжения государственной (муниципальной) собственностью;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overflowPunct w:val="false"/>
        <w:bidi w:val="0"/>
        <w:spacing w:lineRule="auto" w:line="252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kern w:val="2"/>
          <w:sz w:val="28"/>
          <w:szCs w:val="28"/>
          <w:u w:val="none"/>
          <w:shd w:fill="auto" w:val="clear"/>
          <w:lang w:val="ru-RU" w:eastAsia="hi-IN"/>
        </w:rPr>
        <w:t xml:space="preserve">в здании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80000"/>
          <w:spacing w:val="2"/>
          <w:kern w:val="2"/>
          <w:sz w:val="28"/>
          <w:szCs w:val="28"/>
          <w:u w:val="none"/>
          <w:em w:val="none"/>
          <w:lang w:val="ru-RU" w:eastAsia="hi-IN"/>
        </w:rPr>
        <w:t>р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80000"/>
          <w:sz w:val="28"/>
          <w:szCs w:val="28"/>
          <w:u w:val="none"/>
          <w:em w:val="none"/>
        </w:rPr>
        <w:t>аздевалки хоккеистов большая часть помещений находится в неудовлетворительном состоянии. Т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ребуется ремонт; 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overflowPunct w:val="false"/>
        <w:bidi w:val="0"/>
        <w:spacing w:lineRule="auto" w:line="252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80000"/>
          <w:sz w:val="28"/>
          <w:szCs w:val="28"/>
          <w:u w:val="none"/>
          <w:em w:val="none"/>
        </w:rPr>
        <w:t>в здании ФОК с плавательным бассейном по ул. Горького, д. 21 т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ребуется ремонт крыши и помещений второго этажа из-за многочисленных протечек (повреждены стены и потолок);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overflowPunct w:val="false"/>
        <w:bidi w:val="0"/>
        <w:spacing w:lineRule="auto" w:line="252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80000"/>
          <w:sz w:val="28"/>
          <w:szCs w:val="28"/>
          <w:u w:val="none"/>
          <w:em w:val="none"/>
        </w:rPr>
        <w:t xml:space="preserve">лощадка для воркаута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80000"/>
          <w:sz w:val="28"/>
          <w:szCs w:val="28"/>
          <w:u w:val="none"/>
          <w:shd w:fill="auto" w:val="clear"/>
          <w:em w:val="none"/>
        </w:rPr>
        <w:t>по ул. Комсомольская, д. 19 -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80000"/>
          <w:sz w:val="28"/>
          <w:szCs w:val="28"/>
          <w:u w:val="none"/>
          <w:em w:val="none"/>
        </w:rPr>
        <w:t xml:space="preserve"> ч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астично установлена, часть находится в разобранном виде, пришла в негодность.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57"/>
        <w:ind w:left="0" w:right="0" w:firstLine="850"/>
        <w:jc w:val="both"/>
        <w:rPr/>
      </w:pP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В ходе осмотра установлено отсутствие двадцати единиц ОС общей стоимостью 1 313 977,1 руб.</w:t>
      </w:r>
    </w:p>
    <w:p>
      <w:pPr>
        <w:pStyle w:val="Normal"/>
        <w:spacing w:before="57" w:after="0"/>
        <w:jc w:val="both"/>
        <w:rPr/>
      </w:pP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2)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При проверке порядка заключения договоров оказания услуг на размещение рекламы установлено, что в нарушение  постановления Главы городского округа Фрязино от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en-US" w:eastAsia="hi-IN" w:bidi="hi-IN"/>
        </w:rPr>
        <w:t>20.12.2023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№ 1274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en-US" w:eastAsia="hi-IN" w:bidi="hi-IN"/>
        </w:rPr>
        <w:t xml:space="preserve">,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утвердившего тарифы на рекламные услуги (далее — Постановление Главы № 1274), единицей измерения которых установлено 1 мероприятие, в договорах установлена ежемесячная плата, независимо от количества мероприятий.</w:t>
      </w:r>
    </w:p>
    <w:p>
      <w:pPr>
        <w:pStyle w:val="Normal"/>
        <w:spacing w:before="0" w:after="57"/>
        <w:jc w:val="both"/>
        <w:rPr/>
      </w:pP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   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Кроме того, без заключения договоров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на размещение рекламы в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холле ФОК (адрес: ул. Горького, д. 21) размещена реклама Спортшколы УШУ единоборств,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в холле ФОЦ (адрес: ул. Комсомольская, д. 19) - реклама  клубов (занятий) КУДО, Айкидо, Кроссфит, Массажного кабинета, Карате.</w:t>
      </w:r>
    </w:p>
    <w:p>
      <w:pPr>
        <w:pStyle w:val="Normal"/>
        <w:spacing w:before="0" w:after="57"/>
        <w:jc w:val="both"/>
        <w:rPr/>
      </w:pP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   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3) При проверке порядка заключения договоров оказания физкультурно-оздоровительных и спортивных услуг по предоставлению теннисного корта установлено, что в нарушение  постановления Главы  № 1274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en-US" w:eastAsia="hi-IN" w:bidi="hi-IN"/>
        </w:rPr>
        <w:t>,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установившего цену за предоставление теннисного корта - 800 рублей за 1 час, договоры заключены по цене 400  рублей за 1 час, </w:t>
      </w: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что привело к недополучение учреждением доходов в размере 157 000,0 руб.</w:t>
      </w:r>
    </w:p>
    <w:p>
      <w:pPr>
        <w:pStyle w:val="Normal"/>
        <w:spacing w:before="0" w:after="57"/>
        <w:jc w:val="both"/>
        <w:rPr/>
      </w:pP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 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4) При заключении договоров аренды арендаторы не всегда заключают договоры с ресурсоснабжающими организациями и при этом не возмещают расходы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МБУ ДО «СШ «Олимп»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з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а предоставление арендаторам коммунальных услуг. </w:t>
      </w: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Сумма выявленных нарушений составила 1</w:t>
      </w: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62 327,31</w:t>
      </w: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руб.</w:t>
      </w:r>
    </w:p>
    <w:p>
      <w:pPr>
        <w:pStyle w:val="Normal"/>
        <w:spacing w:before="0" w:after="57"/>
        <w:jc w:val="both"/>
        <w:rPr/>
      </w:pP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    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5) Ряд договоров аренды (с ИП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Санкевич Е.М., ИП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Малюк В.П.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)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заключены с нарушением статьи 17.1 Федерального закона от 26.07.2006 № 135-ФЗ «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О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защите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конкуренции» -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без проведения конкурсных процедур. </w:t>
      </w: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Сумма нарушений составила 1 348 644,0 руб.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113"/>
        <w:ind w:left="0" w:right="0" w:firstLine="850"/>
        <w:jc w:val="both"/>
        <w:rPr/>
      </w:pP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6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)  В здании ФОК по адресу:  ул. Горького, д. 21 в ходе проверки порядка оказания платных услуг за пользование бассейном установлено, что ККМ (кассовый аппарат Эватор Смарт-терминал) находится в нерабочем состоянии, чем нарушен Федеральный закон от 22.05.2003 № 54-ФЗ (ред. от 08.08.2024) «О применении контрольно-кассовой техники при осуществлении расчетов в Российской Федерации» в части обязанности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продавца  выдать кассовый чек или бланк строгой отчетности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при осуществлении платных услуг.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850"/>
        <w:jc w:val="both"/>
        <w:rPr/>
      </w:pP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7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) Контракты с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ГБУ ДО МО «СШОР» по летним видам спорта» на аренду бассейна заключены по тарифам, не соответствующим установленным 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постановлением Администрации от 24.07.2023 № 680, </w:t>
      </w:r>
      <w:r>
        <w:rPr>
          <w:rStyle w:val="Style14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что привело к недополучению доходов учреждения в 2024 году на 164 400,0 руб. и занижению стоимости контракта на 2025 год на 271 600,0 руб.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170"/>
        <w:ind w:left="0" w:right="0" w:firstLine="850"/>
        <w:jc w:val="both"/>
        <w:rPr/>
      </w:pP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Кроме того, в расчет стоимости контракта на 2024 год не вошло пользование другими залами и помещениями 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ФОКа, </w:t>
      </w: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что привело к недополучению доходов на сумму 986 400,0 руб.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57"/>
        <w:ind w:left="0" w:right="0" w:hanging="0"/>
        <w:jc w:val="both"/>
        <w:rPr/>
      </w:pP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4. </w:t>
      </w: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С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облюдение требований, установленных Федеральным за</w:t>
        <w:softHyphen/>
        <w:t>коном от 05.04.2013 № 44-ФЗ «О контрактной системе в сфере закупок товаров, работ и услуг для обеспечения государственных и муниципальных услуг».</w:t>
      </w:r>
    </w:p>
    <w:p>
      <w:pPr>
        <w:pStyle w:val="Normal"/>
        <w:bidi w:val="0"/>
        <w:spacing w:before="0" w:after="57"/>
        <w:jc w:val="both"/>
        <w:rPr/>
      </w:pPr>
      <w:r>
        <w:rPr>
          <w:rStyle w:val="1"/>
          <w:rFonts w:eastAsia="Times New Roman" w:cs="Times New Roman" w:ascii="Times New Roman" w:hAnsi="Times New Roman"/>
          <w:b w:val="false"/>
          <w:bCs w:val="false"/>
          <w:iCs w:val="false"/>
          <w:caps w:val="false"/>
          <w:smallCaps w:val="false"/>
          <w:color w:val="000000"/>
          <w:spacing w:val="-4"/>
          <w:kern w:val="2"/>
          <w:position w:val="0"/>
          <w:sz w:val="28"/>
          <w:sz w:val="28"/>
          <w:u w:val="none"/>
          <w:shd w:fill="auto" w:val="clear"/>
          <w:vertAlign w:val="baseline"/>
          <w:lang w:val="ru-RU" w:eastAsia="ru-RU" w:bidi="hi-IN"/>
        </w:rPr>
        <w:t xml:space="preserve">    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Cs w:val="false"/>
          <w:caps w:val="false"/>
          <w:smallCaps w:val="false"/>
          <w:color w:val="000000"/>
          <w:spacing w:val="-4"/>
          <w:kern w:val="2"/>
          <w:position w:val="0"/>
          <w:sz w:val="28"/>
          <w:sz w:val="28"/>
          <w:u w:val="none"/>
          <w:shd w:fill="auto" w:val="clear"/>
          <w:vertAlign w:val="baseline"/>
          <w:lang w:val="ru-RU" w:eastAsia="ru-RU" w:bidi="hi-IN"/>
        </w:rPr>
        <w:t>При проверке</w:t>
      </w:r>
      <w:r>
        <w:rPr>
          <w:rStyle w:val="1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color w:val="000000"/>
          <w:spacing w:val="-4"/>
          <w:kern w:val="2"/>
          <w:position w:val="0"/>
          <w:sz w:val="28"/>
          <w:sz w:val="28"/>
          <w:u w:val="none"/>
          <w:shd w:fill="auto" w:val="clear"/>
          <w:vertAlign w:val="baseline"/>
          <w:lang w:val="ru-RU" w:eastAsia="hi-IN" w:bidi="hi-IN"/>
        </w:rPr>
        <w:t xml:space="preserve">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kern w:val="2"/>
          <w:position w:val="0"/>
          <w:sz w:val="28"/>
          <w:sz w:val="28"/>
          <w:u w:val="none"/>
          <w:shd w:fill="auto" w:val="clear"/>
          <w:vertAlign w:val="baseline"/>
          <w:lang w:val="ru-RU" w:eastAsia="hi-IN" w:bidi="hi-IN"/>
        </w:rPr>
        <w:t>с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облюдения требований, установленных Федеральным за</w:t>
        <w:softHyphen/>
        <w:t>коном от 05.04.2013 № 44-ФЗ «О контрактной системе в сфере закупок товаров, работ и услуг для обеспечения государственных и муниципальных услуг» установлено:</w:t>
      </w:r>
    </w:p>
    <w:p>
      <w:pPr>
        <w:pStyle w:val="Style26"/>
        <w:bidi w:val="0"/>
        <w:spacing w:before="0" w:after="57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  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1) Не принятие учреждением мер по взиманию с поставщиков (подрядчиков) пеней (неустоек) за несвоевременное исполнение  контрактов.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Сумма не взысканных пеней составила 917,04 руб.</w:t>
      </w:r>
    </w:p>
    <w:p>
      <w:pPr>
        <w:pStyle w:val="Style26"/>
        <w:bidi w:val="0"/>
        <w:spacing w:before="0" w:after="57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   </w:t>
      </w:r>
      <w:r>
        <w:rPr>
          <w:rStyle w:val="Style16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2) Несвоевременная оплата учреждением выполненных в 2024 году  контрактов </w:t>
      </w:r>
      <w:r>
        <w:rPr>
          <w:rStyle w:val="Style16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на общую сумму 91 461,68 руб.</w:t>
      </w:r>
    </w:p>
    <w:p>
      <w:pPr>
        <w:pStyle w:val="Normal"/>
        <w:spacing w:before="0" w:after="113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                                         </w:t>
      </w:r>
      <w:r>
        <w:rPr>
          <w:rFonts w:eastAsia="Arial" w:cs="Times New Roman" w:ascii="Times New Roman" w:hAnsi="Times New Roman"/>
          <w:b/>
          <w:bCs/>
          <w:i/>
          <w:iCs/>
          <w:strike w:val="false"/>
          <w:dstrike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            </w:t>
      </w:r>
    </w:p>
    <w:p>
      <w:pPr>
        <w:pStyle w:val="Normal"/>
        <w:jc w:val="both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</w:r>
    </w:p>
    <w:p>
      <w:pPr>
        <w:pStyle w:val="Normal"/>
        <w:jc w:val="both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П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редседатель Контрольно-счетной палаты                        Панченко Л.А.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.</w:t>
      </w:r>
    </w:p>
    <w:sectPr>
      <w:headerReference w:type="default" r:id="rId2"/>
      <w:type w:val="nextPage"/>
      <w:pgSz w:w="11906" w:h="16838"/>
      <w:pgMar w:left="1320" w:right="671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  <w:t xml:space="preserve"> 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cs="Symbol" w:hint="default"/>
        <w:sz w:val="28"/>
        <w:spacing w:val="2"/>
        <w:kern w:val="2"/>
        <w:szCs w:val="28"/>
        <w:color w:val="auto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160"/>
        </w:tabs>
        <w:ind w:left="1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20"/>
        </w:tabs>
        <w:ind w:left="15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cs="Symbol" w:hint="default"/>
        <w:sz w:val="28"/>
        <w:spacing w:val="2"/>
        <w:kern w:val="2"/>
        <w:szCs w:val="28"/>
        <w:color w:val="auto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240"/>
        </w:tabs>
        <w:ind w:left="2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00"/>
        </w:tabs>
        <w:ind w:left="26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  <w:sz w:val="28"/>
        <w:spacing w:val="2"/>
        <w:kern w:val="2"/>
        <w:szCs w:val="28"/>
        <w:color w:val="auto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320"/>
        </w:tabs>
        <w:ind w:left="33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80"/>
        </w:tabs>
        <w:ind w:left="36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8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Style13">
    <w:name w:val="Основной шрифт абзаца"/>
    <w:qFormat/>
    <w:rPr/>
  </w:style>
  <w:style w:type="character" w:styleId="Strong1">
    <w:name w:val="Strong1"/>
    <w:qFormat/>
    <w:rPr>
      <w:b/>
      <w:bCs/>
    </w:rPr>
  </w:style>
  <w:style w:type="character" w:styleId="Style14">
    <w:name w:val="Emphasis"/>
    <w:qFormat/>
    <w:rPr>
      <w:i/>
      <w:iCs/>
    </w:rPr>
  </w:style>
  <w:style w:type="character" w:styleId="Style15">
    <w:name w:val="Основной текст_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character" w:styleId="1">
    <w:name w:val="Заголовок №1_"/>
    <w:qFormat/>
    <w:rPr>
      <w:rFonts w:ascii="Times New Roman" w:hAnsi="Times New Roman" w:cs="Times New Roman"/>
      <w:b/>
      <w:sz w:val="28"/>
      <w:u w:val="none"/>
    </w:rPr>
  </w:style>
  <w:style w:type="character" w:styleId="Style16">
    <w:name w:val="Strong"/>
    <w:qFormat/>
    <w:rPr>
      <w:b/>
      <w:bCs/>
    </w:rPr>
  </w:style>
  <w:style w:type="character" w:styleId="WW8Num3z0">
    <w:name w:val="WW8Num3z0"/>
    <w:qFormat/>
    <w:rPr>
      <w:rFonts w:ascii="Symbol" w:hAnsi="Symbol" w:eastAsia="SimSun;宋体" w:cs="OpenSymbol;Arial Unicode MS"/>
      <w:color w:val="auto"/>
      <w:spacing w:val="2"/>
      <w:kern w:val="2"/>
      <w:sz w:val="28"/>
      <w:szCs w:val="28"/>
      <w:lang w:val="ru-RU" w:eastAsia="zh-CN" w:bidi="hi-IN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Style17">
    <w:name w:val="Hyperlink"/>
    <w:rPr>
      <w:color w:val="000080"/>
      <w:u w:val="single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next w:val="Style24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Arial" w:cs="Courier New"/>
      <w:color w:val="auto"/>
      <w:kern w:val="2"/>
      <w:sz w:val="20"/>
      <w:szCs w:val="24"/>
      <w:lang w:val="ru-RU" w:eastAsia="zh-CN" w:bidi="hi-IN"/>
    </w:rPr>
  </w:style>
  <w:style w:type="paragraph" w:styleId="Style23">
    <w:name w:val="Колонтитул"/>
    <w:basedOn w:val="Normal"/>
    <w:next w:val="Cef1edeee2edeee9f2e5eaf1f2f1eef2f1f2f3efeeec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next w:val="Style25"/>
    <w:pPr>
      <w:suppressLineNumbers/>
      <w:tabs>
        <w:tab w:val="clear" w:pos="709"/>
        <w:tab w:val="center" w:pos="4845" w:leader="none"/>
        <w:tab w:val="right" w:pos="9690" w:leader="none"/>
      </w:tabs>
    </w:pPr>
    <w:rPr/>
  </w:style>
  <w:style w:type="paragraph" w:styleId="Style25">
    <w:name w:val="Цитата"/>
    <w:basedOn w:val="Normal"/>
    <w:qFormat/>
    <w:pPr>
      <w:ind w:left="567" w:right="-199" w:hanging="0"/>
    </w:pPr>
    <w:rPr>
      <w:sz w:val="24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next w:val="Style23"/>
    <w:qFormat/>
    <w:pPr>
      <w:widowControl w:val="false"/>
      <w:suppressLineNumbers/>
      <w:suppressAutoHyphens w:val="true"/>
      <w:kinsoku w:val="true"/>
      <w:overflowPunct w:val="true"/>
      <w:autoSpaceDE w:val="true"/>
      <w:bidi w:val="0"/>
      <w:jc w:val="center"/>
    </w:pPr>
    <w:rPr>
      <w:rFonts w:ascii="Liberation Serif;Times New Roman" w:hAnsi="Liberation Serif;Times New Roman" w:eastAsia="SimSun" w:cs="Mangal"/>
      <w:b/>
      <w:bCs/>
      <w:color w:val="auto"/>
      <w:kern w:val="2"/>
      <w:sz w:val="24"/>
      <w:szCs w:val="24"/>
      <w:lang w:val="ru-RU" w:eastAsia="zh-CN" w:bidi="hi-IN"/>
    </w:rPr>
  </w:style>
  <w:style w:type="paragraph" w:styleId="Cef1edeee2edeee9f2e5eaf1f2f1eef2f1f2f3efeeec">
    <w:name w:val="Оceсf1нedоeeвe2нedоeeйe9 тf2еe5кeaсf1тf2 сf1 оeeтf2сf1тf2уf3пefоeeмec"/>
    <w:basedOn w:val="Normal"/>
    <w:next w:val="BodyText2"/>
    <w:qFormat/>
    <w:pPr>
      <w:widowControl w:val="false"/>
      <w:suppressAutoHyphens w:val="true"/>
      <w:bidi w:val="0"/>
      <w:ind w:left="-360" w:right="0" w:hanging="0"/>
      <w:jc w:val="left"/>
      <w:textAlignment w:val="auto"/>
    </w:pPr>
    <w:rPr>
      <w:rFonts w:ascii="Liberation Serif;Times New Roman" w:hAnsi="Liberation Serif;Times New Roman" w:eastAsia="Liberation Serif;Times New Roman" w:cs="Liberation Serif;Times New Roman"/>
      <w:kern w:val="2"/>
      <w:sz w:val="24"/>
      <w:lang w:val="ru-RU" w:eastAsia="ar-SA"/>
    </w:rPr>
  </w:style>
  <w:style w:type="paragraph" w:styleId="BodyText2">
    <w:name w:val="Body Text 2"/>
    <w:basedOn w:val="Normal"/>
    <w:next w:val="Cef1edeee2edeee9f2e5eaf1f2f1eef2f1f2f3efeeec"/>
    <w:qFormat/>
    <w:pPr/>
    <w:rPr/>
  </w:style>
  <w:style w:type="paragraph" w:styleId="Style28">
    <w:name w:val="Body Text Indent"/>
    <w:basedOn w:val="Normal"/>
    <w:pPr>
      <w:ind w:left="-360" w:right="0" w:hanging="0"/>
    </w:pPr>
    <w:rPr/>
  </w:style>
  <w:style w:type="paragraph" w:styleId="11">
    <w:name w:val="Цветной список — акцент 1"/>
    <w:basedOn w:val="Normal"/>
    <w:next w:val="Standard"/>
    <w:qFormat/>
    <w:pPr>
      <w:spacing w:before="0" w:after="0"/>
      <w:ind w:left="720" w:right="0" w:hanging="0"/>
      <w:contextualSpacing/>
    </w:pPr>
    <w:rPr>
      <w:rFonts w:ascii="Times New Roman" w:hAnsi="Times New Roman" w:cs="Times New Roman"/>
      <w:sz w:val="28"/>
      <w:szCs w:val="28"/>
    </w:rPr>
  </w:style>
  <w:style w:type="paragraph" w:styleId="Standard">
    <w:name w:val="Standard"/>
    <w:next w:val="BodyText2"/>
    <w:qFormat/>
    <w:pPr>
      <w:widowControl w:val="false"/>
      <w:suppressAutoHyphens w:val="true"/>
      <w:kinsoku w:val="true"/>
      <w:overflowPunct w:val="false"/>
      <w:autoSpaceDE w:val="true"/>
      <w:bidi w:val="0"/>
      <w:textAlignment w:val="baseline"/>
    </w:pPr>
    <w:rPr>
      <w:rFonts w:ascii="Arial" w:hAnsi="Arial" w:eastAsia="Calibri" w:cs="Arial"/>
      <w:color w:val="auto"/>
      <w:kern w:val="2"/>
      <w:sz w:val="18"/>
      <w:szCs w:val="18"/>
      <w:lang w:val="ru-RU" w:eastAsia="zh-CN" w:bidi="ar-SA"/>
    </w:rPr>
  </w:style>
  <w:style w:type="paragraph" w:styleId="ConsPlusNonformat">
    <w:name w:val="ConsPlusNonformat"/>
    <w:next w:val="Style29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29">
    <w:name w:val="Верхний и нижний колонтитулы"/>
    <w:basedOn w:val="Normal"/>
    <w:next w:val="Style24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numbering" w:styleId="WW8Num3">
    <w:name w:val="WW8Num3"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8171</TotalTime>
  <Application>LibreOffice/7.4.1.2$Windows_X86_64 LibreOffice_project/3c58a8f3a960df8bc8fd77b461821e42c061c5f0</Application>
  <AppVersion>15.0000</AppVersion>
  <Pages>6</Pages>
  <Words>1929</Words>
  <Characters>12362</Characters>
  <CharactersWithSpaces>14688</CharactersWithSpaces>
  <Paragraphs>83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2025-02-19T16:12:00Z</dcterms:created>
  <dc:creator/>
  <dc:description/>
  <dc:language>ru-RU</dc:language>
  <cp:lastModifiedBy/>
  <cp:lastPrinted>2025-02-17T10:20:24Z</cp:lastPrinted>
  <dcterms:modified xsi:type="dcterms:W3CDTF">2025-04-16T10:07:02Z</dcterms:modified>
  <cp:revision>465</cp:revision>
  <dc:subject/>
  <dc:title>Закон Московской области от 15.12.2023 N 243/2023-ОЗ(ред. от 05.12.2024)"О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обеспечении дополнительного образования детей в 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